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יהורם שקד</w:t>
            </w:r>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Pr="00F41AD3" w:rsidRDefault="0058702E" w:rsidP="0058702E">
            <w:pPr>
              <w:bidi w:val="0"/>
              <w:jc w:val="right"/>
              <w:rPr>
                <w:rFonts w:ascii="Arial" w:hAnsi="Arial"/>
                <w:b/>
                <w:bCs/>
                <w:noProof w:val="0"/>
                <w:rtl/>
              </w:rPr>
            </w:pPr>
            <w:r w:rsidRPr="00F41AD3">
              <w:rPr>
                <w:rFonts w:ascii="Arial" w:hAnsi="Arial" w:hint="cs"/>
                <w:b/>
                <w:bCs/>
                <w:noProof w:val="0"/>
                <w:rtl/>
              </w:rPr>
              <w:t>התובעת:</w:t>
            </w:r>
          </w:p>
        </w:tc>
        <w:tc>
          <w:tcPr>
            <w:tcW w:w="5571" w:type="dxa"/>
          </w:tcPr>
          <w:p w:rsidR="002914D6" w:rsidRPr="00F41AD3" w:rsidRDefault="00D80559" w:rsidP="00D80559">
            <w:pPr>
              <w:rPr>
                <w:b/>
                <w:bCs/>
                <w:noProof w:val="0"/>
                <w:rtl/>
              </w:rPr>
            </w:pPr>
            <w:r>
              <w:rPr>
                <w:rStyle w:val="af"/>
                <w:rFonts w:hint="cs"/>
                <w:b/>
                <w:bCs/>
                <w:color w:val="auto"/>
                <w:rtl/>
              </w:rPr>
              <w:t>פלונית</w:t>
            </w:r>
          </w:p>
          <w:p w:rsidR="0058702E" w:rsidRPr="00F41AD3" w:rsidRDefault="0058702E" w:rsidP="0058702E">
            <w:pPr>
              <w:rPr>
                <w:b/>
                <w:bCs/>
                <w:noProof w:val="0"/>
              </w:rPr>
            </w:pPr>
            <w:r w:rsidRPr="00F41AD3">
              <w:rPr>
                <w:rFonts w:hint="cs"/>
                <w:b/>
                <w:bCs/>
                <w:noProof w:val="0"/>
                <w:rtl/>
              </w:rPr>
              <w:t xml:space="preserve">ע"י ב"כ עו"ד </w:t>
            </w:r>
            <w:r w:rsidR="00D80559">
              <w:rPr>
                <w:rFonts w:hint="cs"/>
                <w:b/>
                <w:bCs/>
                <w:noProof w:val="0"/>
                <w:rtl/>
              </w:rPr>
              <w:t xml:space="preserve">חיים </w:t>
            </w:r>
            <w:r w:rsidR="00F41AD3" w:rsidRPr="00F41AD3">
              <w:rPr>
                <w:rFonts w:hint="cs"/>
                <w:b/>
                <w:bCs/>
                <w:noProof w:val="0"/>
                <w:rtl/>
              </w:rPr>
              <w:t>פיצ'ון</w:t>
            </w:r>
          </w:p>
        </w:tc>
      </w:tr>
      <w:tr w:rsidR="002914D6">
        <w:trPr>
          <w:jc w:val="center"/>
        </w:trPr>
        <w:tc>
          <w:tcPr>
            <w:tcW w:w="8820" w:type="dxa"/>
            <w:gridSpan w:val="3"/>
          </w:tcPr>
          <w:p w:rsidR="002914D6" w:rsidRPr="00D80559" w:rsidRDefault="002914D6">
            <w:pPr>
              <w:rPr>
                <w:rFonts w:ascii="Arial" w:hAnsi="Arial"/>
                <w:b/>
                <w:bCs/>
                <w:noProof w:val="0"/>
                <w:rtl/>
              </w:rPr>
            </w:pPr>
          </w:p>
          <w:p w:rsidR="002914D6" w:rsidRPr="00F41AD3" w:rsidRDefault="00011212">
            <w:pPr>
              <w:jc w:val="center"/>
              <w:rPr>
                <w:rFonts w:ascii="Arial" w:hAnsi="Arial"/>
                <w:b/>
                <w:bCs/>
                <w:noProof w:val="0"/>
                <w:rtl/>
              </w:rPr>
            </w:pPr>
            <w:r w:rsidRPr="00F41AD3">
              <w:rPr>
                <w:rFonts w:ascii="Arial" w:hAnsi="Arial"/>
                <w:b/>
                <w:bCs/>
                <w:noProof w:val="0"/>
                <w:rtl/>
              </w:rPr>
              <w:t>נגד</w:t>
            </w:r>
          </w:p>
          <w:p w:rsidR="002914D6" w:rsidRPr="00F41AD3" w:rsidRDefault="002914D6">
            <w:pPr>
              <w:rPr>
                <w:rFonts w:ascii="Arial" w:hAnsi="Arial"/>
                <w:b/>
                <w:bCs/>
                <w:noProof w:val="0"/>
              </w:rPr>
            </w:pPr>
          </w:p>
        </w:tc>
      </w:tr>
      <w:tr w:rsidR="002914D6">
        <w:trPr>
          <w:jc w:val="center"/>
        </w:trPr>
        <w:tc>
          <w:tcPr>
            <w:tcW w:w="3249" w:type="dxa"/>
            <w:gridSpan w:val="2"/>
          </w:tcPr>
          <w:p w:rsidR="002914D6" w:rsidRPr="00F41AD3" w:rsidRDefault="0058702E" w:rsidP="0058702E">
            <w:pPr>
              <w:rPr>
                <w:rFonts w:ascii="Arial" w:hAnsi="Arial"/>
                <w:b/>
                <w:bCs/>
                <w:noProof w:val="0"/>
              </w:rPr>
            </w:pPr>
            <w:r w:rsidRPr="00F41AD3">
              <w:rPr>
                <w:rFonts w:ascii="Arial" w:hAnsi="Arial" w:hint="cs"/>
                <w:b/>
                <w:bCs/>
                <w:noProof w:val="0"/>
                <w:rtl/>
              </w:rPr>
              <w:t>הנתבע:</w:t>
            </w:r>
          </w:p>
        </w:tc>
        <w:tc>
          <w:tcPr>
            <w:tcW w:w="5571" w:type="dxa"/>
          </w:tcPr>
          <w:p w:rsidR="002914D6" w:rsidRPr="00F41AD3" w:rsidRDefault="00D80559" w:rsidP="00D80559">
            <w:pPr>
              <w:rPr>
                <w:rStyle w:val="af"/>
                <w:b/>
                <w:bCs/>
                <w:color w:val="auto"/>
                <w:rtl/>
              </w:rPr>
            </w:pPr>
            <w:r>
              <w:rPr>
                <w:rStyle w:val="af"/>
                <w:rFonts w:hint="cs"/>
                <w:b/>
                <w:bCs/>
                <w:color w:val="auto"/>
                <w:rtl/>
              </w:rPr>
              <w:t>אלמוני</w:t>
            </w:r>
          </w:p>
          <w:p w:rsidR="0058702E" w:rsidRPr="00F41AD3" w:rsidRDefault="0058702E" w:rsidP="0058702E">
            <w:pPr>
              <w:rPr>
                <w:b/>
                <w:bCs/>
                <w:noProof w:val="0"/>
                <w:rtl/>
              </w:rPr>
            </w:pPr>
            <w:r w:rsidRPr="00F41AD3">
              <w:rPr>
                <w:rFonts w:hint="cs"/>
                <w:b/>
                <w:bCs/>
                <w:noProof w:val="0"/>
                <w:rtl/>
              </w:rPr>
              <w:t xml:space="preserve">ע"י ב"כ עו"ד </w:t>
            </w:r>
            <w:r w:rsidR="00F41AD3" w:rsidRPr="00F41AD3">
              <w:rPr>
                <w:rFonts w:hint="cs"/>
                <w:b/>
                <w:bCs/>
                <w:noProof w:val="0"/>
                <w:rtl/>
              </w:rPr>
              <w:t>דרור נאור</w:t>
            </w:r>
          </w:p>
          <w:p w:rsidR="002914D6" w:rsidRPr="00F41AD3" w:rsidRDefault="002914D6" w:rsidP="00BD5B6B">
            <w:pPr>
              <w:rPr>
                <w:b/>
                <w:bCs/>
                <w:noProof w:val="0"/>
                <w:rtl/>
              </w:rPr>
            </w:pPr>
          </w:p>
        </w:tc>
      </w:tr>
      <w:tr w:rsidR="002914D6">
        <w:trPr>
          <w:jc w:val="center"/>
        </w:trPr>
        <w:tc>
          <w:tcPr>
            <w:tcW w:w="8820" w:type="dxa"/>
            <w:gridSpan w:val="3"/>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58702E" w:rsidRDefault="0058702E" w:rsidP="0058702E">
      <w:pPr>
        <w:spacing w:line="360" w:lineRule="auto"/>
        <w:jc w:val="both"/>
        <w:rPr>
          <w:rFonts w:ascii="David" w:hAnsi="David"/>
          <w:rtl/>
        </w:rPr>
      </w:pPr>
      <w:r>
        <w:rPr>
          <w:rFonts w:ascii="David" w:hAnsi="David"/>
          <w:rtl/>
        </w:rPr>
        <w:t>ה</w:t>
      </w:r>
      <w:r>
        <w:rPr>
          <w:rFonts w:ascii="David" w:hAnsi="David" w:hint="cs"/>
          <w:rtl/>
        </w:rPr>
        <w:t xml:space="preserve">אם יש להורות על ביטול הסתלקותה של התובעת מירושת סבה המנוח וכפועל יוצא, לבטל את צו קיום צוואתו </w:t>
      </w:r>
      <w:r>
        <w:rPr>
          <w:rFonts w:ascii="David" w:hAnsi="David"/>
          <w:rtl/>
        </w:rPr>
        <w:t xml:space="preserve">שניתן </w:t>
      </w:r>
      <w:r>
        <w:rPr>
          <w:rFonts w:ascii="David" w:hAnsi="David" w:hint="cs"/>
          <w:rtl/>
        </w:rPr>
        <w:t>כ 16 שנים טרם הגשת התובענה? זו השאלה העומדת בבסיס פסק דין זה.</w:t>
      </w:r>
    </w:p>
    <w:p w:rsidR="00827EB0" w:rsidRPr="00827EB0" w:rsidRDefault="00827EB0" w:rsidP="0058702E">
      <w:pPr>
        <w:spacing w:line="360" w:lineRule="auto"/>
        <w:jc w:val="both"/>
        <w:rPr>
          <w:rFonts w:ascii="David" w:hAnsi="David"/>
          <w:sz w:val="16"/>
          <w:szCs w:val="16"/>
          <w:rtl/>
        </w:rPr>
      </w:pPr>
    </w:p>
    <w:p w:rsidR="00827EB0" w:rsidRPr="00827EB0" w:rsidRDefault="00827EB0" w:rsidP="00827EB0">
      <w:pPr>
        <w:spacing w:line="360" w:lineRule="auto"/>
        <w:jc w:val="both"/>
        <w:rPr>
          <w:rFonts w:ascii="David" w:hAnsi="David"/>
          <w:sz w:val="20"/>
          <w:szCs w:val="20"/>
          <w:rtl/>
        </w:rPr>
      </w:pPr>
      <w:r w:rsidRPr="00827EB0">
        <w:rPr>
          <w:rFonts w:ascii="David" w:hAnsi="David" w:hint="cs"/>
          <w:sz w:val="20"/>
          <w:szCs w:val="20"/>
          <w:rtl/>
        </w:rPr>
        <w:t>[ההדגשות בגוף פסק הדין אינן במק</w:t>
      </w:r>
      <w:r>
        <w:rPr>
          <w:rFonts w:ascii="David" w:hAnsi="David" w:hint="cs"/>
          <w:sz w:val="20"/>
          <w:szCs w:val="20"/>
          <w:rtl/>
        </w:rPr>
        <w:t>ו</w:t>
      </w:r>
      <w:r w:rsidRPr="00827EB0">
        <w:rPr>
          <w:rFonts w:ascii="David" w:hAnsi="David" w:hint="cs"/>
          <w:sz w:val="20"/>
          <w:szCs w:val="20"/>
          <w:rtl/>
        </w:rPr>
        <w:t>ר, אא"כ ייאמר אחרת]</w:t>
      </w:r>
    </w:p>
    <w:p w:rsidR="0058702E" w:rsidRPr="00AB3BD1" w:rsidRDefault="0058702E" w:rsidP="0058702E">
      <w:pPr>
        <w:spacing w:line="360" w:lineRule="auto"/>
        <w:jc w:val="both"/>
        <w:rPr>
          <w:rFonts w:ascii="David" w:hAnsi="David"/>
          <w:sz w:val="16"/>
          <w:szCs w:val="16"/>
          <w:rtl/>
        </w:rPr>
      </w:pPr>
    </w:p>
    <w:p w:rsidR="0058702E" w:rsidRPr="0058702E" w:rsidRDefault="0058702E" w:rsidP="0058702E">
      <w:pPr>
        <w:spacing w:line="360" w:lineRule="auto"/>
        <w:jc w:val="both"/>
        <w:rPr>
          <w:rFonts w:ascii="David" w:hAnsi="David"/>
          <w:b/>
          <w:bCs/>
          <w:rtl/>
        </w:rPr>
      </w:pPr>
      <w:r w:rsidRPr="0058702E">
        <w:rPr>
          <w:rFonts w:ascii="David" w:hAnsi="David" w:hint="cs"/>
          <w:b/>
          <w:bCs/>
          <w:rtl/>
        </w:rPr>
        <w:t xml:space="preserve">א' </w:t>
      </w:r>
      <w:r w:rsidRPr="0058702E">
        <w:rPr>
          <w:rFonts w:ascii="David" w:hAnsi="David"/>
          <w:b/>
          <w:bCs/>
          <w:rtl/>
        </w:rPr>
        <w:t>–</w:t>
      </w:r>
      <w:r w:rsidRPr="0058702E">
        <w:rPr>
          <w:rFonts w:ascii="David" w:hAnsi="David" w:hint="cs"/>
          <w:b/>
          <w:bCs/>
          <w:rtl/>
        </w:rPr>
        <w:t xml:space="preserve"> העובדות הצריכות לעניין:</w:t>
      </w:r>
    </w:p>
    <w:p w:rsidR="0058702E" w:rsidRPr="00AB3BD1" w:rsidRDefault="0058702E" w:rsidP="0058702E">
      <w:pPr>
        <w:spacing w:line="360" w:lineRule="auto"/>
        <w:jc w:val="both"/>
        <w:rPr>
          <w:rFonts w:ascii="David" w:hAnsi="David"/>
          <w:sz w:val="16"/>
          <w:szCs w:val="16"/>
          <w:rtl/>
        </w:rPr>
      </w:pPr>
    </w:p>
    <w:p w:rsidR="0058702E" w:rsidRDefault="0058702E" w:rsidP="00D80559">
      <w:pPr>
        <w:pStyle w:val="af0"/>
        <w:numPr>
          <w:ilvl w:val="0"/>
          <w:numId w:val="1"/>
        </w:numPr>
        <w:spacing w:line="360" w:lineRule="auto"/>
        <w:ind w:left="567" w:hanging="567"/>
        <w:jc w:val="both"/>
        <w:rPr>
          <w:rFonts w:ascii="David" w:hAnsi="David" w:cs="David"/>
          <w:sz w:val="24"/>
          <w:szCs w:val="24"/>
        </w:rPr>
      </w:pPr>
      <w:r>
        <w:rPr>
          <w:rFonts w:ascii="David" w:hAnsi="David" w:cs="David"/>
          <w:sz w:val="24"/>
          <w:szCs w:val="24"/>
          <w:rtl/>
        </w:rPr>
        <w:t>המנוח</w:t>
      </w:r>
      <w:r>
        <w:rPr>
          <w:rFonts w:ascii="David" w:hAnsi="David" w:cs="David" w:hint="cs"/>
          <w:sz w:val="24"/>
          <w:szCs w:val="24"/>
          <w:rtl/>
        </w:rPr>
        <w:t>, סבה של התובעת,</w:t>
      </w:r>
      <w:r>
        <w:rPr>
          <w:rFonts w:ascii="David" w:hAnsi="David" w:cs="David"/>
          <w:sz w:val="24"/>
          <w:szCs w:val="24"/>
          <w:rtl/>
        </w:rPr>
        <w:t xml:space="preserve"> נפטר ביום 15.2.2005 והותיר אחריו צוואה מיום 22.8.2002 ב</w:t>
      </w:r>
      <w:r>
        <w:rPr>
          <w:rFonts w:ascii="David" w:hAnsi="David" w:cs="David" w:hint="cs"/>
          <w:sz w:val="24"/>
          <w:szCs w:val="24"/>
          <w:rtl/>
        </w:rPr>
        <w:t>ה</w:t>
      </w:r>
      <w:r>
        <w:rPr>
          <w:rFonts w:ascii="David" w:hAnsi="David" w:cs="David"/>
          <w:sz w:val="24"/>
          <w:szCs w:val="24"/>
          <w:rtl/>
        </w:rPr>
        <w:t xml:space="preserve"> ציווה את זכויותיו בבית ב</w:t>
      </w:r>
      <w:r w:rsidR="00D80559">
        <w:rPr>
          <w:rFonts w:ascii="David" w:hAnsi="David" w:cs="David" w:hint="cs"/>
          <w:sz w:val="24"/>
          <w:szCs w:val="24"/>
          <w:rtl/>
        </w:rPr>
        <w:t xml:space="preserve">תל אביב </w:t>
      </w:r>
      <w:r>
        <w:rPr>
          <w:rFonts w:ascii="David" w:hAnsi="David" w:cs="David"/>
          <w:sz w:val="24"/>
          <w:szCs w:val="24"/>
          <w:rtl/>
        </w:rPr>
        <w:t>בחלקים שווים לתובעת ולנתבע (אביה של התובעת ובנו של המנוח)</w:t>
      </w:r>
      <w:r w:rsidR="00C6304A">
        <w:rPr>
          <w:rFonts w:ascii="David" w:hAnsi="David" w:cs="David" w:hint="cs"/>
          <w:sz w:val="24"/>
          <w:szCs w:val="24"/>
          <w:rtl/>
        </w:rPr>
        <w:t>;</w:t>
      </w:r>
      <w:r>
        <w:rPr>
          <w:rFonts w:ascii="David" w:hAnsi="David" w:cs="David"/>
          <w:sz w:val="24"/>
          <w:szCs w:val="24"/>
          <w:rtl/>
        </w:rPr>
        <w:t xml:space="preserve"> את הצילומים, השקופיות והסרטים ציווה לתובעת ולשני אחיה</w:t>
      </w:r>
      <w:r w:rsidR="00C6304A">
        <w:rPr>
          <w:rFonts w:ascii="David" w:hAnsi="David" w:cs="David" w:hint="cs"/>
          <w:sz w:val="24"/>
          <w:szCs w:val="24"/>
          <w:rtl/>
        </w:rPr>
        <w:t>;</w:t>
      </w:r>
      <w:r>
        <w:rPr>
          <w:rFonts w:ascii="David" w:hAnsi="David" w:cs="David"/>
          <w:sz w:val="24"/>
          <w:szCs w:val="24"/>
          <w:rtl/>
        </w:rPr>
        <w:t xml:space="preserve"> </w:t>
      </w:r>
      <w:r w:rsidR="007E4E46">
        <w:rPr>
          <w:rFonts w:ascii="David" w:hAnsi="David" w:cs="David" w:hint="cs"/>
          <w:sz w:val="24"/>
          <w:szCs w:val="24"/>
          <w:rtl/>
        </w:rPr>
        <w:t>ו</w:t>
      </w:r>
      <w:r>
        <w:rPr>
          <w:rFonts w:ascii="David" w:hAnsi="David" w:cs="David"/>
          <w:sz w:val="24"/>
          <w:szCs w:val="24"/>
          <w:rtl/>
        </w:rPr>
        <w:t>את יתרת רכושו (למעט הקראוון) ציווה לנתבע, לתובע</w:t>
      </w:r>
      <w:r w:rsidR="007E4E46">
        <w:rPr>
          <w:rFonts w:ascii="David" w:hAnsi="David" w:cs="David" w:hint="cs"/>
          <w:sz w:val="24"/>
          <w:szCs w:val="24"/>
          <w:rtl/>
        </w:rPr>
        <w:t>ת</w:t>
      </w:r>
      <w:r>
        <w:rPr>
          <w:rFonts w:ascii="David" w:hAnsi="David" w:cs="David"/>
          <w:sz w:val="24"/>
          <w:szCs w:val="24"/>
          <w:rtl/>
        </w:rPr>
        <w:t xml:space="preserve"> ולשני אחיה בחלקים שווים.</w:t>
      </w:r>
    </w:p>
    <w:p w:rsidR="007E4E46" w:rsidRPr="00AB3BD1" w:rsidRDefault="007E4E46" w:rsidP="007E4E46">
      <w:pPr>
        <w:pStyle w:val="af0"/>
        <w:spacing w:line="360" w:lineRule="auto"/>
        <w:ind w:left="567"/>
        <w:jc w:val="both"/>
        <w:rPr>
          <w:rFonts w:ascii="David" w:hAnsi="David" w:cs="David"/>
          <w:sz w:val="16"/>
          <w:szCs w:val="16"/>
        </w:rPr>
      </w:pPr>
    </w:p>
    <w:p w:rsidR="007E4E46" w:rsidRDefault="007E4E46" w:rsidP="00C6304A">
      <w:pPr>
        <w:pStyle w:val="af0"/>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בי</w:t>
      </w:r>
      <w:r w:rsidR="0058702E" w:rsidRPr="007E4E46">
        <w:rPr>
          <w:rFonts w:ascii="David" w:hAnsi="David" w:cs="David"/>
          <w:sz w:val="24"/>
          <w:szCs w:val="24"/>
          <w:rtl/>
        </w:rPr>
        <w:t>ום 18.5.2005</w:t>
      </w:r>
      <w:r>
        <w:rPr>
          <w:rFonts w:ascii="David" w:hAnsi="David" w:cs="David" w:hint="cs"/>
          <w:sz w:val="24"/>
          <w:szCs w:val="24"/>
          <w:rtl/>
        </w:rPr>
        <w:t xml:space="preserve">, כשלושה חודשים לאחר פטירת </w:t>
      </w:r>
      <w:r w:rsidR="00C6304A">
        <w:rPr>
          <w:rFonts w:ascii="David" w:hAnsi="David" w:cs="David" w:hint="cs"/>
          <w:sz w:val="24"/>
          <w:szCs w:val="24"/>
          <w:rtl/>
        </w:rPr>
        <w:t>המנוח</w:t>
      </w:r>
      <w:r>
        <w:rPr>
          <w:rFonts w:ascii="David" w:hAnsi="David" w:cs="David" w:hint="cs"/>
          <w:sz w:val="24"/>
          <w:szCs w:val="24"/>
          <w:rtl/>
        </w:rPr>
        <w:t>,</w:t>
      </w:r>
      <w:r w:rsidR="0058702E" w:rsidRPr="007E4E46">
        <w:rPr>
          <w:rFonts w:ascii="David" w:hAnsi="David" w:cs="David"/>
          <w:sz w:val="24"/>
          <w:szCs w:val="24"/>
          <w:rtl/>
        </w:rPr>
        <w:t xml:space="preserve"> חתמה התובעת על תצהיר הסתלקות מחלקה בעיזבון המנוח </w:t>
      </w:r>
      <w:r>
        <w:rPr>
          <w:rFonts w:ascii="David" w:hAnsi="David" w:cs="David" w:hint="cs"/>
          <w:sz w:val="24"/>
          <w:szCs w:val="24"/>
          <w:rtl/>
        </w:rPr>
        <w:t xml:space="preserve">לטובת אביה, הנתבע, </w:t>
      </w:r>
      <w:r w:rsidR="0058702E" w:rsidRPr="007E4E46">
        <w:rPr>
          <w:rFonts w:ascii="David" w:hAnsi="David" w:cs="David"/>
          <w:sz w:val="24"/>
          <w:szCs w:val="24"/>
          <w:rtl/>
        </w:rPr>
        <w:t xml:space="preserve">וביום 18.7.2005 ניתן צו קיום לצוואתו </w:t>
      </w:r>
      <w:r>
        <w:rPr>
          <w:rFonts w:ascii="David" w:hAnsi="David" w:cs="David" w:hint="cs"/>
          <w:sz w:val="24"/>
          <w:szCs w:val="24"/>
          <w:rtl/>
        </w:rPr>
        <w:t>בהתאם להסתלקותה של התובעת.</w:t>
      </w:r>
    </w:p>
    <w:p w:rsidR="007E4E46" w:rsidRPr="00AB3BD1" w:rsidRDefault="007E4E46" w:rsidP="007E4E46">
      <w:pPr>
        <w:pStyle w:val="af0"/>
        <w:rPr>
          <w:rFonts w:ascii="David" w:hAnsi="David" w:cs="David"/>
          <w:sz w:val="16"/>
          <w:szCs w:val="16"/>
          <w:rtl/>
        </w:rPr>
      </w:pPr>
    </w:p>
    <w:p w:rsidR="007C27D5" w:rsidRDefault="007E4E46" w:rsidP="002A7848">
      <w:pPr>
        <w:pStyle w:val="af0"/>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ביום 19.4.2021, כ 16 שנים לאחר </w:t>
      </w:r>
      <w:r w:rsidR="002A7848">
        <w:rPr>
          <w:rFonts w:ascii="David" w:hAnsi="David" w:cs="David" w:hint="cs"/>
          <w:sz w:val="24"/>
          <w:szCs w:val="24"/>
          <w:rtl/>
        </w:rPr>
        <w:t xml:space="preserve">מתן צו קיום הצוואה, </w:t>
      </w:r>
      <w:r w:rsidR="0058702E" w:rsidRPr="007E4E46">
        <w:rPr>
          <w:rFonts w:ascii="David" w:hAnsi="David" w:cs="David"/>
          <w:sz w:val="24"/>
          <w:szCs w:val="24"/>
          <w:rtl/>
        </w:rPr>
        <w:t xml:space="preserve">פנתה </w:t>
      </w:r>
      <w:r>
        <w:rPr>
          <w:rFonts w:ascii="David" w:hAnsi="David" w:cs="David" w:hint="cs"/>
          <w:sz w:val="24"/>
          <w:szCs w:val="24"/>
          <w:rtl/>
        </w:rPr>
        <w:t xml:space="preserve">התובעת </w:t>
      </w:r>
      <w:r w:rsidR="0058702E" w:rsidRPr="007E4E46">
        <w:rPr>
          <w:rFonts w:ascii="David" w:hAnsi="David" w:cs="David"/>
          <w:sz w:val="24"/>
          <w:szCs w:val="24"/>
          <w:rtl/>
        </w:rPr>
        <w:t xml:space="preserve">לראשונה לרשם לענייני ירושה </w:t>
      </w:r>
      <w:r>
        <w:rPr>
          <w:rFonts w:ascii="David" w:hAnsi="David" w:cs="David" w:hint="cs"/>
          <w:sz w:val="24"/>
          <w:szCs w:val="24"/>
          <w:rtl/>
        </w:rPr>
        <w:t xml:space="preserve">בבקשה </w:t>
      </w:r>
      <w:r w:rsidR="0058702E" w:rsidRPr="007E4E46">
        <w:rPr>
          <w:rFonts w:ascii="David" w:hAnsi="David" w:cs="David"/>
          <w:sz w:val="24"/>
          <w:szCs w:val="24"/>
          <w:rtl/>
        </w:rPr>
        <w:t>לביטול הצו</w:t>
      </w:r>
      <w:r w:rsidR="007C27D5">
        <w:rPr>
          <w:rFonts w:ascii="David" w:hAnsi="David" w:cs="David" w:hint="cs"/>
          <w:sz w:val="24"/>
          <w:szCs w:val="24"/>
          <w:rtl/>
        </w:rPr>
        <w:t xml:space="preserve">, בטענה כי כתב ההסתלקות עליו חתמה הוצא ממנה </w:t>
      </w:r>
      <w:r w:rsidR="002A7848">
        <w:rPr>
          <w:rFonts w:ascii="David" w:hAnsi="David" w:cs="David" w:hint="cs"/>
          <w:sz w:val="24"/>
          <w:szCs w:val="24"/>
          <w:rtl/>
        </w:rPr>
        <w:t>ב</w:t>
      </w:r>
      <w:r w:rsidR="007C27D5">
        <w:rPr>
          <w:rFonts w:ascii="David" w:hAnsi="David" w:cs="David" w:hint="cs"/>
          <w:sz w:val="24"/>
          <w:szCs w:val="24"/>
          <w:rtl/>
        </w:rPr>
        <w:t>ניגוד לרצונה. באשר לשיהוי שבהגשת התובענה, טענה התובעת כי כוחותיה הנפשיים לא עמדו לה ולכן נמנע ממנה לעתור לביטול הצו קודם לכן.</w:t>
      </w:r>
    </w:p>
    <w:p w:rsidR="007C27D5" w:rsidRPr="00AB3BD1" w:rsidRDefault="007C27D5" w:rsidP="007C27D5">
      <w:pPr>
        <w:pStyle w:val="af0"/>
        <w:rPr>
          <w:rFonts w:ascii="David" w:hAnsi="David" w:cs="David"/>
          <w:sz w:val="16"/>
          <w:szCs w:val="16"/>
          <w:rtl/>
        </w:rPr>
      </w:pPr>
    </w:p>
    <w:p w:rsidR="007C27D5" w:rsidRDefault="007C27D5" w:rsidP="002A7848">
      <w:pPr>
        <w:pStyle w:val="af0"/>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במהלך בירור התביעה, עתרה התובעת למינוי מומחה מטעם בית המשפט </w:t>
      </w:r>
      <w:r w:rsidR="00CA4066">
        <w:rPr>
          <w:rFonts w:ascii="David" w:hAnsi="David" w:cs="David" w:hint="cs"/>
          <w:sz w:val="24"/>
          <w:szCs w:val="24"/>
          <w:rtl/>
        </w:rPr>
        <w:t>להוכחת מצבה הנפשי והמניע</w:t>
      </w:r>
      <w:r w:rsidR="002A7848">
        <w:rPr>
          <w:rFonts w:ascii="David" w:hAnsi="David" w:cs="David" w:hint="cs"/>
          <w:sz w:val="24"/>
          <w:szCs w:val="24"/>
          <w:rtl/>
        </w:rPr>
        <w:t>ות</w:t>
      </w:r>
      <w:r w:rsidR="00CA4066">
        <w:rPr>
          <w:rFonts w:ascii="David" w:hAnsi="David" w:cs="David" w:hint="cs"/>
          <w:sz w:val="24"/>
          <w:szCs w:val="24"/>
          <w:rtl/>
        </w:rPr>
        <w:t xml:space="preserve"> שהייתה עליה מלהגיש את התובענה ברבות השנים. הנתבע התנגד לבקשה בטענה עיקרית ולפיה אף מומחה לא יוכל לעולם ליתן חוות דעת שתתמוך באופן חד משמעי בטענות התובעת לאי נקיטת פעולות מצידה ברבות השנים ו/או באשר למי</w:t>
      </w:r>
      <w:r w:rsidR="003F672A">
        <w:rPr>
          <w:rFonts w:ascii="David" w:hAnsi="David" w:cs="David" w:hint="cs"/>
          <w:sz w:val="24"/>
          <w:szCs w:val="24"/>
          <w:rtl/>
        </w:rPr>
        <w:t>דת הפגמים ברצון שהיו או לא היו לתובעת בעת החתימה על תצהיר ההסתלקות</w:t>
      </w:r>
      <w:r w:rsidR="002A7848">
        <w:rPr>
          <w:rFonts w:ascii="David" w:hAnsi="David" w:cs="David" w:hint="cs"/>
          <w:sz w:val="24"/>
          <w:szCs w:val="24"/>
          <w:rtl/>
        </w:rPr>
        <w:t>.</w:t>
      </w:r>
      <w:r w:rsidR="003F672A">
        <w:rPr>
          <w:rFonts w:ascii="David" w:hAnsi="David" w:cs="David" w:hint="cs"/>
          <w:sz w:val="24"/>
          <w:szCs w:val="24"/>
          <w:rtl/>
        </w:rPr>
        <w:t xml:space="preserve"> בהחלטתי מיום 28.4.2022, לא מצאתי להורות על מינוי מומחה מטעם בית המשפט ויחד עם זאת, אפשרתי לתובעת להגיש חוו"ד מומחה מטעמה, תוך שהבהרתי כי: </w:t>
      </w:r>
      <w:r w:rsidR="003F672A" w:rsidRPr="003F672A">
        <w:rPr>
          <w:rFonts w:ascii="David" w:hAnsi="David" w:cs="David" w:hint="cs"/>
          <w:b/>
          <w:bCs/>
          <w:sz w:val="24"/>
          <w:szCs w:val="24"/>
          <w:rtl/>
        </w:rPr>
        <w:t>"... אין להבין מדבריי משום קביעה כלשהי בדבר המשקל או משמעות חוות הדעת שתוגש אשר מטבעם של דברים תיבחן לאחר הגשתה"</w:t>
      </w:r>
      <w:r w:rsidR="003F672A">
        <w:rPr>
          <w:rFonts w:ascii="David" w:hAnsi="David" w:cs="David" w:hint="cs"/>
          <w:sz w:val="24"/>
          <w:szCs w:val="24"/>
          <w:rtl/>
        </w:rPr>
        <w:t xml:space="preserve"> (שם).</w:t>
      </w:r>
    </w:p>
    <w:p w:rsidR="007C27D5" w:rsidRDefault="003F672A" w:rsidP="002A7848">
      <w:pPr>
        <w:pStyle w:val="af0"/>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ביום </w:t>
      </w:r>
      <w:r w:rsidR="00062914">
        <w:rPr>
          <w:rFonts w:ascii="David" w:hAnsi="David" w:cs="David" w:hint="cs"/>
          <w:sz w:val="24"/>
          <w:szCs w:val="24"/>
          <w:rtl/>
        </w:rPr>
        <w:t>2</w:t>
      </w:r>
      <w:r w:rsidR="002A7848">
        <w:rPr>
          <w:rFonts w:ascii="David" w:hAnsi="David" w:cs="David" w:hint="cs"/>
          <w:sz w:val="24"/>
          <w:szCs w:val="24"/>
          <w:rtl/>
        </w:rPr>
        <w:t>8</w:t>
      </w:r>
      <w:r w:rsidR="00062914">
        <w:rPr>
          <w:rFonts w:ascii="David" w:hAnsi="David" w:cs="David" w:hint="cs"/>
          <w:sz w:val="24"/>
          <w:szCs w:val="24"/>
          <w:rtl/>
        </w:rPr>
        <w:t xml:space="preserve">.8.2022 </w:t>
      </w:r>
      <w:r w:rsidR="002A7848">
        <w:rPr>
          <w:rFonts w:ascii="David" w:hAnsi="David" w:cs="David" w:hint="cs"/>
          <w:sz w:val="24"/>
          <w:szCs w:val="24"/>
          <w:rtl/>
        </w:rPr>
        <w:t xml:space="preserve">הוגשה לתיק </w:t>
      </w:r>
      <w:r>
        <w:rPr>
          <w:rFonts w:ascii="David" w:hAnsi="David" w:cs="David" w:hint="cs"/>
          <w:sz w:val="24"/>
          <w:szCs w:val="24"/>
          <w:rtl/>
        </w:rPr>
        <w:t xml:space="preserve">חוות דעתה של ד"ר שגית משגב, מומחית מטעם התובעת, בה סוכמו הדברים לאמור: </w:t>
      </w:r>
      <w:r w:rsidRPr="00BE5E69">
        <w:rPr>
          <w:rFonts w:ascii="David" w:hAnsi="David" w:cs="David" w:hint="cs"/>
          <w:b/>
          <w:bCs/>
          <w:sz w:val="24"/>
          <w:szCs w:val="24"/>
          <w:rtl/>
        </w:rPr>
        <w:t>"מכל האמור, ואם ניקח ב</w:t>
      </w:r>
      <w:r w:rsidR="00BE5E69" w:rsidRPr="00BE5E69">
        <w:rPr>
          <w:rFonts w:ascii="David" w:hAnsi="David" w:cs="David" w:hint="cs"/>
          <w:b/>
          <w:bCs/>
          <w:sz w:val="24"/>
          <w:szCs w:val="24"/>
          <w:rtl/>
        </w:rPr>
        <w:t>חשבון את הכתוב לעיל על מאפייני הליבה של ההפרעה, את תיאוריה החוזרים והעקביים של האימה שחשה מהתעמתות מולו, נראה מובן כי שיטת ההימנעות אשר בחרה במקרה הנידון ואשר הייתה לרצותו ע"י החתימה על וויתור חלקה בירושה, והימנעות מהתמודדות עם אביה, בוודאי הגשת הליך משפטי נגדו, הייתה חלק מתסמיני הפתולוגיה הקשה, אשר נגרמה בעקבות ההתעללות הרגשית ארוכת השנים מצידו. רק לאחר שנים מהאירועים, טיפולים נפשיים, ריחוק פיזי לשנים ויצירת מערכת תמך משפחתית, הצליחה לאגור כוחות נפשיים לצורך הגשת תביעה זו..."</w:t>
      </w:r>
      <w:r w:rsidR="00BE5E69">
        <w:rPr>
          <w:rFonts w:ascii="David" w:hAnsi="David" w:cs="David" w:hint="cs"/>
          <w:sz w:val="24"/>
          <w:szCs w:val="24"/>
          <w:rtl/>
        </w:rPr>
        <w:t xml:space="preserve"> (ר' עמ' 18 לחוות הדעת).</w:t>
      </w:r>
    </w:p>
    <w:p w:rsidR="007C27D5" w:rsidRPr="00AB3BD1" w:rsidRDefault="007C27D5" w:rsidP="00BE5E69">
      <w:pPr>
        <w:pStyle w:val="af0"/>
        <w:spacing w:line="360" w:lineRule="auto"/>
        <w:ind w:left="567"/>
        <w:jc w:val="both"/>
        <w:rPr>
          <w:rFonts w:ascii="David" w:hAnsi="David" w:cs="David"/>
          <w:sz w:val="16"/>
          <w:szCs w:val="16"/>
        </w:rPr>
      </w:pPr>
    </w:p>
    <w:p w:rsidR="006A7273" w:rsidRDefault="007E4E46" w:rsidP="006A7273">
      <w:pPr>
        <w:pStyle w:val="af0"/>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הצדדים נשמעו, הוגשו סיכומים ולאחר שכל ניסיונותי</w:t>
      </w:r>
      <w:r w:rsidR="006A7273">
        <w:rPr>
          <w:rFonts w:ascii="David" w:hAnsi="David" w:cs="David" w:hint="cs"/>
          <w:sz w:val="24"/>
          <w:szCs w:val="24"/>
          <w:rtl/>
        </w:rPr>
        <w:t>י להביא את הצדדים להסדר כלשהו לא עלו יפה, ניתן פסק דין זה.</w:t>
      </w:r>
    </w:p>
    <w:p w:rsidR="006A7273" w:rsidRPr="00AB3BD1" w:rsidRDefault="006A7273" w:rsidP="006A7273">
      <w:pPr>
        <w:pStyle w:val="af0"/>
        <w:rPr>
          <w:rFonts w:ascii="David" w:hAnsi="David" w:cs="David"/>
          <w:sz w:val="16"/>
          <w:szCs w:val="16"/>
          <w:rtl/>
        </w:rPr>
      </w:pPr>
    </w:p>
    <w:p w:rsidR="006A7273" w:rsidRDefault="006A7273" w:rsidP="0058702E">
      <w:pPr>
        <w:spacing w:line="360" w:lineRule="auto"/>
        <w:jc w:val="both"/>
        <w:rPr>
          <w:rFonts w:ascii="David" w:hAnsi="David"/>
          <w:b/>
          <w:bCs/>
          <w:rtl/>
        </w:rPr>
      </w:pPr>
      <w:r>
        <w:rPr>
          <w:rFonts w:ascii="David" w:hAnsi="David" w:hint="cs"/>
          <w:b/>
          <w:bCs/>
          <w:rtl/>
        </w:rPr>
        <w:t xml:space="preserve">ב' </w:t>
      </w:r>
      <w:r>
        <w:rPr>
          <w:rFonts w:ascii="David" w:hAnsi="David"/>
          <w:b/>
          <w:bCs/>
          <w:rtl/>
        </w:rPr>
        <w:t>–</w:t>
      </w:r>
      <w:r>
        <w:rPr>
          <w:rFonts w:ascii="David" w:hAnsi="David" w:hint="cs"/>
          <w:b/>
          <w:bCs/>
          <w:rtl/>
        </w:rPr>
        <w:t xml:space="preserve"> טענות הצדדים:</w:t>
      </w:r>
    </w:p>
    <w:p w:rsidR="006A7273" w:rsidRPr="00AB3BD1" w:rsidRDefault="006A7273" w:rsidP="0058702E">
      <w:pPr>
        <w:spacing w:line="360" w:lineRule="auto"/>
        <w:jc w:val="both"/>
        <w:rPr>
          <w:rFonts w:ascii="David" w:hAnsi="David"/>
          <w:b/>
          <w:bCs/>
          <w:sz w:val="16"/>
          <w:szCs w:val="16"/>
          <w:rtl/>
        </w:rPr>
      </w:pPr>
    </w:p>
    <w:p w:rsidR="006A7273" w:rsidRDefault="006A7273" w:rsidP="0058702E">
      <w:pPr>
        <w:pStyle w:val="af0"/>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להלן עיקר טענות התובעת:</w:t>
      </w:r>
    </w:p>
    <w:p w:rsidR="006A7273" w:rsidRPr="00AB3BD1" w:rsidRDefault="006A7273" w:rsidP="006A7273">
      <w:pPr>
        <w:pStyle w:val="af0"/>
        <w:spacing w:line="360" w:lineRule="auto"/>
        <w:ind w:left="567"/>
        <w:jc w:val="both"/>
        <w:rPr>
          <w:rFonts w:ascii="David" w:hAnsi="David" w:cs="David"/>
          <w:sz w:val="16"/>
          <w:szCs w:val="16"/>
        </w:rPr>
      </w:pPr>
    </w:p>
    <w:p w:rsidR="0058702E" w:rsidRDefault="0058702E" w:rsidP="006A7273">
      <w:pPr>
        <w:pStyle w:val="af0"/>
        <w:numPr>
          <w:ilvl w:val="0"/>
          <w:numId w:val="3"/>
        </w:numPr>
        <w:spacing w:line="360" w:lineRule="auto"/>
        <w:jc w:val="both"/>
        <w:rPr>
          <w:rFonts w:ascii="David" w:hAnsi="David" w:cs="David"/>
          <w:sz w:val="24"/>
          <w:szCs w:val="24"/>
        </w:rPr>
      </w:pPr>
      <w:r>
        <w:rPr>
          <w:rFonts w:ascii="David" w:hAnsi="David" w:cs="David"/>
          <w:sz w:val="24"/>
          <w:szCs w:val="24"/>
          <w:rtl/>
        </w:rPr>
        <w:t>נסיבות חתימת התובעת על תצהיר ההסתלקות מעיזבון המנוח משקפת נכוחה את מציאות חייה של התובעת במחיצת הנתבע. מציאות שבה נהג הנתבע בתובעת (וכן באמה ושני אחיה) באלימות פיזית רגשית וכלכלית משך שנים רבות הן בילדותה והן לאחר שבגרה ושלט במשפחתו שלטון ללא מצרים.</w:t>
      </w:r>
    </w:p>
    <w:p w:rsidR="0058702E" w:rsidRDefault="0058702E" w:rsidP="006A7273">
      <w:pPr>
        <w:pStyle w:val="af0"/>
        <w:numPr>
          <w:ilvl w:val="0"/>
          <w:numId w:val="3"/>
        </w:numPr>
        <w:spacing w:line="360" w:lineRule="auto"/>
        <w:jc w:val="both"/>
        <w:rPr>
          <w:rFonts w:ascii="David" w:hAnsi="David" w:cs="David"/>
          <w:sz w:val="24"/>
          <w:szCs w:val="24"/>
        </w:rPr>
      </w:pPr>
      <w:r w:rsidRPr="006A7273">
        <w:rPr>
          <w:rFonts w:ascii="David" w:hAnsi="David" w:cs="David"/>
          <w:sz w:val="24"/>
          <w:szCs w:val="24"/>
          <w:rtl/>
        </w:rPr>
        <w:t xml:space="preserve">הנתבע גזל מהתובעת ומשני אחיה את חלקם בעיזבון המנוח ודבר מעיזבונו לא הגיע לידיהם חרף האמור בצוואה. </w:t>
      </w:r>
    </w:p>
    <w:p w:rsidR="0058702E" w:rsidRDefault="0058702E" w:rsidP="006A7273">
      <w:pPr>
        <w:pStyle w:val="af0"/>
        <w:numPr>
          <w:ilvl w:val="0"/>
          <w:numId w:val="3"/>
        </w:numPr>
        <w:spacing w:line="360" w:lineRule="auto"/>
        <w:jc w:val="both"/>
        <w:rPr>
          <w:rFonts w:ascii="David" w:hAnsi="David" w:cs="David"/>
          <w:sz w:val="24"/>
          <w:szCs w:val="24"/>
        </w:rPr>
      </w:pPr>
      <w:r w:rsidRPr="006A7273">
        <w:rPr>
          <w:rFonts w:ascii="David" w:hAnsi="David" w:cs="David"/>
          <w:sz w:val="24"/>
          <w:szCs w:val="24"/>
          <w:rtl/>
        </w:rPr>
        <w:t>חתימת התובעת על תצהיר ההסתלקות נעשה תחת לחץ, אונס וכפיה. הנתבע ורעייתו (אמה של התובעת) הפעילו על התובעת מסכת איומים שהלכה והסלימה. במשך מספר שבועות איימו עליה, נהגו בה באלימות, לרבות אלימות כלכלית עד שנשברה והסכימה לחתום על תצהיר ההסתלקות.</w:t>
      </w:r>
    </w:p>
    <w:p w:rsidR="0058702E" w:rsidRDefault="0058702E" w:rsidP="006A7273">
      <w:pPr>
        <w:pStyle w:val="af0"/>
        <w:numPr>
          <w:ilvl w:val="0"/>
          <w:numId w:val="3"/>
        </w:numPr>
        <w:spacing w:line="360" w:lineRule="auto"/>
        <w:jc w:val="both"/>
        <w:rPr>
          <w:rFonts w:ascii="David" w:hAnsi="David" w:cs="David"/>
          <w:sz w:val="24"/>
          <w:szCs w:val="24"/>
        </w:rPr>
      </w:pPr>
      <w:r w:rsidRPr="006A7273">
        <w:rPr>
          <w:rFonts w:ascii="David" w:hAnsi="David" w:cs="David"/>
          <w:sz w:val="24"/>
          <w:szCs w:val="24"/>
          <w:rtl/>
        </w:rPr>
        <w:t>הנתבע הסיע את</w:t>
      </w:r>
      <w:r w:rsidR="006A7273">
        <w:rPr>
          <w:rFonts w:ascii="David" w:hAnsi="David" w:cs="David" w:hint="cs"/>
          <w:sz w:val="24"/>
          <w:szCs w:val="24"/>
          <w:rtl/>
        </w:rPr>
        <w:t xml:space="preserve"> התובעת </w:t>
      </w:r>
      <w:r w:rsidRPr="006A7273">
        <w:rPr>
          <w:rFonts w:ascii="David" w:hAnsi="David" w:cs="David"/>
          <w:sz w:val="24"/>
          <w:szCs w:val="24"/>
          <w:rtl/>
        </w:rPr>
        <w:t>למשרד עו"ד שם הורו לה לחתום על תצהיר ההסתלקות והיא חתמה מבלי שקראה או הבינה על מה היא חותמת.</w:t>
      </w:r>
    </w:p>
    <w:p w:rsidR="0058702E" w:rsidRDefault="0058702E" w:rsidP="006A7273">
      <w:pPr>
        <w:pStyle w:val="af0"/>
        <w:numPr>
          <w:ilvl w:val="0"/>
          <w:numId w:val="3"/>
        </w:numPr>
        <w:spacing w:line="360" w:lineRule="auto"/>
        <w:jc w:val="both"/>
        <w:rPr>
          <w:rFonts w:ascii="David" w:hAnsi="David" w:cs="David"/>
          <w:sz w:val="24"/>
          <w:szCs w:val="24"/>
        </w:rPr>
      </w:pPr>
      <w:r w:rsidRPr="006A7273">
        <w:rPr>
          <w:rFonts w:ascii="David" w:hAnsi="David" w:cs="David"/>
          <w:sz w:val="24"/>
          <w:szCs w:val="24"/>
          <w:rtl/>
        </w:rPr>
        <w:t>עוד ובנוסף, הנתבע גזל מ</w:t>
      </w:r>
      <w:r w:rsidR="006A7273">
        <w:rPr>
          <w:rFonts w:ascii="David" w:hAnsi="David" w:cs="David" w:hint="cs"/>
          <w:sz w:val="24"/>
          <w:szCs w:val="24"/>
          <w:rtl/>
        </w:rPr>
        <w:t xml:space="preserve">התובעת </w:t>
      </w:r>
      <w:r w:rsidRPr="006A7273">
        <w:rPr>
          <w:rFonts w:ascii="David" w:hAnsi="David" w:cs="David"/>
          <w:sz w:val="24"/>
          <w:szCs w:val="24"/>
          <w:rtl/>
        </w:rPr>
        <w:t xml:space="preserve">את חלקה בירושת סבה המנוח במרמה וכחש. הנתבע רימה אותה עת אמר לה כי וככל ותירשמנה על שמה זכויות במקרקעין הדבר יפגע בה כאשר תבקש לרכוש דירה משלה וכי בן זוגה יהיה זכאי למחצית מזכויותיה בבית. הנתבע הבטיח לה שכאשר תינשא הוא יסייע בידה לקנות דירה אך לא עשה כן. </w:t>
      </w:r>
    </w:p>
    <w:p w:rsidR="0058702E" w:rsidRDefault="0058702E" w:rsidP="006A7273">
      <w:pPr>
        <w:pStyle w:val="af0"/>
        <w:numPr>
          <w:ilvl w:val="0"/>
          <w:numId w:val="3"/>
        </w:numPr>
        <w:spacing w:line="360" w:lineRule="auto"/>
        <w:jc w:val="both"/>
        <w:rPr>
          <w:rFonts w:ascii="David" w:hAnsi="David" w:cs="David"/>
          <w:sz w:val="24"/>
          <w:szCs w:val="24"/>
        </w:rPr>
      </w:pPr>
      <w:r w:rsidRPr="006A7273">
        <w:rPr>
          <w:rFonts w:ascii="David" w:hAnsi="David" w:cs="David"/>
          <w:sz w:val="24"/>
          <w:szCs w:val="24"/>
          <w:rtl/>
        </w:rPr>
        <w:t>הנתבע אף הודה כי הוא חייב לתובעת כספים בשווי חלקה בעיזבון המנוח.</w:t>
      </w:r>
    </w:p>
    <w:p w:rsidR="0058702E" w:rsidRDefault="0058702E" w:rsidP="006A7273">
      <w:pPr>
        <w:pStyle w:val="af0"/>
        <w:numPr>
          <w:ilvl w:val="0"/>
          <w:numId w:val="3"/>
        </w:numPr>
        <w:spacing w:line="360" w:lineRule="auto"/>
        <w:jc w:val="both"/>
        <w:rPr>
          <w:rFonts w:ascii="David" w:hAnsi="David" w:cs="David"/>
          <w:sz w:val="24"/>
          <w:szCs w:val="24"/>
        </w:rPr>
      </w:pPr>
      <w:r w:rsidRPr="006A7273">
        <w:rPr>
          <w:rFonts w:ascii="David" w:hAnsi="David" w:cs="David"/>
          <w:sz w:val="24"/>
          <w:szCs w:val="24"/>
          <w:rtl/>
        </w:rPr>
        <w:t>עו"ד צבי הר נבו, אשר ערך את צוואת המנוח, הגיש את הבקשה לצו קיום צוואה בשם הנתבע ואף החתים את התובעת על תצהירי ההסתלקות</w:t>
      </w:r>
      <w:r w:rsidR="006A7273">
        <w:rPr>
          <w:rFonts w:ascii="David" w:hAnsi="David" w:cs="David" w:hint="cs"/>
          <w:sz w:val="24"/>
          <w:szCs w:val="24"/>
          <w:rtl/>
        </w:rPr>
        <w:t>,</w:t>
      </w:r>
      <w:r w:rsidRPr="006A7273">
        <w:rPr>
          <w:rFonts w:ascii="David" w:hAnsi="David" w:cs="David"/>
          <w:sz w:val="24"/>
          <w:szCs w:val="24"/>
          <w:rtl/>
        </w:rPr>
        <w:t xml:space="preserve"> הוא חברו הקרוב של הנתבע והוא שיתף עמו פעולה לנישול התובעת מחלקה בירושת המנוח.</w:t>
      </w:r>
    </w:p>
    <w:p w:rsidR="0058702E" w:rsidRDefault="0058702E" w:rsidP="006A7273">
      <w:pPr>
        <w:pStyle w:val="af0"/>
        <w:numPr>
          <w:ilvl w:val="0"/>
          <w:numId w:val="3"/>
        </w:numPr>
        <w:spacing w:line="360" w:lineRule="auto"/>
        <w:jc w:val="both"/>
        <w:rPr>
          <w:rFonts w:ascii="David" w:hAnsi="David" w:cs="David"/>
          <w:sz w:val="24"/>
          <w:szCs w:val="24"/>
        </w:rPr>
      </w:pPr>
      <w:r w:rsidRPr="006A7273">
        <w:rPr>
          <w:rFonts w:ascii="David" w:hAnsi="David" w:cs="David"/>
          <w:sz w:val="24"/>
          <w:szCs w:val="24"/>
          <w:rtl/>
        </w:rPr>
        <w:lastRenderedPageBreak/>
        <w:t>הגם שהתובעת ניהלה חיים נורמטיביים בבגרותה, למדה, נישאה והיא כיום מורה בחינוך המיוחד ואם לשני ילדים, הרי ששנים רבות חסרה התובעת את היכולת הנפשית והרגשית להגשת התובענה כנגד אביה.</w:t>
      </w:r>
    </w:p>
    <w:p w:rsidR="006A7273" w:rsidRDefault="006A7273" w:rsidP="006A7273">
      <w:pPr>
        <w:pStyle w:val="af0"/>
        <w:numPr>
          <w:ilvl w:val="0"/>
          <w:numId w:val="3"/>
        </w:numPr>
        <w:spacing w:line="360" w:lineRule="auto"/>
        <w:jc w:val="both"/>
        <w:rPr>
          <w:rFonts w:ascii="David" w:hAnsi="David" w:cs="David"/>
          <w:sz w:val="24"/>
          <w:szCs w:val="24"/>
        </w:rPr>
      </w:pPr>
      <w:r w:rsidRPr="006A7273">
        <w:rPr>
          <w:rFonts w:ascii="David" w:hAnsi="David" w:cs="David"/>
          <w:sz w:val="24"/>
          <w:szCs w:val="24"/>
          <w:rtl/>
        </w:rPr>
        <w:t>ב</w:t>
      </w:r>
      <w:r>
        <w:rPr>
          <w:rFonts w:ascii="David" w:hAnsi="David" w:cs="David" w:hint="cs"/>
          <w:sz w:val="24"/>
          <w:szCs w:val="24"/>
          <w:rtl/>
        </w:rPr>
        <w:t xml:space="preserve">רבות </w:t>
      </w:r>
      <w:r w:rsidRPr="006A7273">
        <w:rPr>
          <w:rFonts w:ascii="David" w:hAnsi="David" w:cs="David"/>
          <w:sz w:val="24"/>
          <w:szCs w:val="24"/>
          <w:rtl/>
        </w:rPr>
        <w:t>השנים ניסו התובעת ושני אחיה לפנות אל הנתבע ולדבר על ליבו ואף ניסו להיעזר באנשי מקצוע לצורך כך אך לשווא</w:t>
      </w:r>
      <w:r w:rsidR="001453E0">
        <w:rPr>
          <w:rFonts w:ascii="David" w:hAnsi="David" w:cs="David" w:hint="cs"/>
          <w:sz w:val="24"/>
          <w:szCs w:val="24"/>
          <w:rtl/>
        </w:rPr>
        <w:t>, מאחר</w:t>
      </w:r>
      <w:r w:rsidRPr="006A7273">
        <w:rPr>
          <w:rFonts w:ascii="David" w:hAnsi="David" w:cs="David"/>
          <w:sz w:val="24"/>
          <w:szCs w:val="24"/>
          <w:rtl/>
        </w:rPr>
        <w:t xml:space="preserve"> </w:t>
      </w:r>
      <w:r w:rsidR="001453E0">
        <w:rPr>
          <w:rFonts w:ascii="David" w:hAnsi="David" w:cs="David" w:hint="cs"/>
          <w:sz w:val="24"/>
          <w:szCs w:val="24"/>
          <w:rtl/>
        </w:rPr>
        <w:t>ו</w:t>
      </w:r>
      <w:r w:rsidRPr="006A7273">
        <w:rPr>
          <w:rFonts w:ascii="David" w:hAnsi="David" w:cs="David"/>
          <w:sz w:val="24"/>
          <w:szCs w:val="24"/>
          <w:rtl/>
        </w:rPr>
        <w:t>הנתבע חיבל בכל ניסיון שכזה. לאחר הניסיון האחרון (בדצמבר 2020) שכשל אף הוא, מצאו התובעת ואחיה את הכוחות והאומץ לעמוד מול הנתבע ולתבוע את שנגזל מהם.</w:t>
      </w:r>
    </w:p>
    <w:p w:rsidR="001453E0" w:rsidRDefault="001453E0" w:rsidP="006A7273">
      <w:pPr>
        <w:pStyle w:val="af0"/>
        <w:numPr>
          <w:ilvl w:val="0"/>
          <w:numId w:val="3"/>
        </w:numPr>
        <w:spacing w:line="360" w:lineRule="auto"/>
        <w:jc w:val="both"/>
        <w:rPr>
          <w:rFonts w:ascii="David" w:hAnsi="David" w:cs="David"/>
          <w:sz w:val="24"/>
          <w:szCs w:val="24"/>
        </w:rPr>
      </w:pPr>
      <w:r>
        <w:rPr>
          <w:rFonts w:ascii="David" w:hAnsi="David" w:cs="David" w:hint="cs"/>
          <w:sz w:val="24"/>
          <w:szCs w:val="24"/>
          <w:rtl/>
        </w:rPr>
        <w:t>אשר על כן, יש להורות על ביטול הסתלקותה של התובעת מעיזבון הסב וביטול צו קיום הצוואה, שמשמעותם קיום רצונו של הסב המנוח.</w:t>
      </w:r>
    </w:p>
    <w:p w:rsidR="001453E0" w:rsidRPr="00AB3BD1" w:rsidRDefault="001453E0" w:rsidP="001453E0">
      <w:pPr>
        <w:pStyle w:val="af0"/>
        <w:spacing w:line="360" w:lineRule="auto"/>
        <w:ind w:left="927"/>
        <w:jc w:val="both"/>
        <w:rPr>
          <w:rFonts w:ascii="David" w:hAnsi="David" w:cs="David"/>
          <w:sz w:val="16"/>
          <w:szCs w:val="16"/>
        </w:rPr>
      </w:pPr>
    </w:p>
    <w:p w:rsidR="001453E0" w:rsidRDefault="001453E0" w:rsidP="0058702E">
      <w:pPr>
        <w:pStyle w:val="af0"/>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להלן עיקר טענות הנתבע:</w:t>
      </w:r>
    </w:p>
    <w:p w:rsidR="001453E0" w:rsidRPr="00AB3BD1" w:rsidRDefault="001453E0" w:rsidP="001453E0">
      <w:pPr>
        <w:pStyle w:val="af0"/>
        <w:spacing w:line="360" w:lineRule="auto"/>
        <w:ind w:left="567"/>
        <w:jc w:val="both"/>
        <w:rPr>
          <w:rFonts w:ascii="David" w:hAnsi="David" w:cs="David"/>
          <w:sz w:val="16"/>
          <w:szCs w:val="16"/>
          <w:rtl/>
        </w:rPr>
      </w:pPr>
    </w:p>
    <w:p w:rsidR="00D0331F" w:rsidRDefault="00D0331F" w:rsidP="001453E0">
      <w:pPr>
        <w:pStyle w:val="af0"/>
        <w:numPr>
          <w:ilvl w:val="0"/>
          <w:numId w:val="4"/>
        </w:numPr>
        <w:spacing w:line="360" w:lineRule="auto"/>
        <w:jc w:val="both"/>
        <w:rPr>
          <w:rFonts w:ascii="David" w:hAnsi="David" w:cs="David"/>
          <w:sz w:val="24"/>
          <w:szCs w:val="24"/>
        </w:rPr>
      </w:pPr>
      <w:r>
        <w:rPr>
          <w:rFonts w:ascii="David" w:hAnsi="David" w:cs="David" w:hint="cs"/>
          <w:sz w:val="24"/>
          <w:szCs w:val="24"/>
          <w:rtl/>
        </w:rPr>
        <w:t>התביעה התיישנה שכן הוגשה 16 שנים לאחר החתימה על תצהיר ההסתלקות.</w:t>
      </w:r>
    </w:p>
    <w:p w:rsidR="0058702E" w:rsidRDefault="0058702E" w:rsidP="002A7848">
      <w:pPr>
        <w:pStyle w:val="af0"/>
        <w:numPr>
          <w:ilvl w:val="0"/>
          <w:numId w:val="4"/>
        </w:numPr>
        <w:spacing w:line="360" w:lineRule="auto"/>
        <w:jc w:val="both"/>
        <w:rPr>
          <w:rFonts w:ascii="David" w:hAnsi="David" w:cs="David"/>
          <w:sz w:val="24"/>
          <w:szCs w:val="24"/>
        </w:rPr>
      </w:pPr>
      <w:r>
        <w:rPr>
          <w:rFonts w:ascii="David" w:hAnsi="David" w:cs="David"/>
          <w:sz w:val="24"/>
          <w:szCs w:val="24"/>
          <w:rtl/>
        </w:rPr>
        <w:t>אין כל שחר לטענות התובעת, הן ביחס לחתימה על תצהיר ההסתלקות והן בכלל. טענות התובעת הזויות</w:t>
      </w:r>
      <w:r w:rsidR="002A7848">
        <w:rPr>
          <w:rFonts w:ascii="David" w:hAnsi="David" w:cs="David" w:hint="cs"/>
          <w:sz w:val="24"/>
          <w:szCs w:val="24"/>
          <w:rtl/>
        </w:rPr>
        <w:t>,</w:t>
      </w:r>
      <w:r>
        <w:rPr>
          <w:rFonts w:ascii="David" w:hAnsi="David" w:cs="David"/>
          <w:sz w:val="24"/>
          <w:szCs w:val="24"/>
          <w:rtl/>
        </w:rPr>
        <w:t xml:space="preserve"> שקריות ומופרכות. הנתבע ורעייתו תמכו בתובעת ובשני אחיה כל חייהם גם בטוב וגם ברע תמיכה חסרת גבולות ואף סייעו להם כלכלית בסכומי עתק ואלו בוחרים כיום להשיב להם רעה תחת טובה. טענות התובעת ושני אחיה מופרכות, שקריות וחסרות כל תום לב נטענות אך ורק על מנת להוציא מהוריהם עוד ועוד כספים.</w:t>
      </w:r>
    </w:p>
    <w:p w:rsidR="001453E0" w:rsidRDefault="0058702E" w:rsidP="001453E0">
      <w:pPr>
        <w:pStyle w:val="af0"/>
        <w:numPr>
          <w:ilvl w:val="0"/>
          <w:numId w:val="4"/>
        </w:numPr>
        <w:spacing w:line="360" w:lineRule="auto"/>
        <w:jc w:val="both"/>
        <w:rPr>
          <w:rFonts w:ascii="David" w:hAnsi="David" w:cs="David"/>
          <w:sz w:val="24"/>
          <w:szCs w:val="24"/>
        </w:rPr>
      </w:pPr>
      <w:r w:rsidRPr="001453E0">
        <w:rPr>
          <w:rFonts w:ascii="David" w:hAnsi="David" w:cs="David"/>
          <w:sz w:val="24"/>
          <w:szCs w:val="24"/>
          <w:rtl/>
        </w:rPr>
        <w:t>התובעת חתמה על תצהיר ההסתלקות בהיותה בת 21 מבחירתה ומרצונה החופשי משהתובעת הרגישה חוסר נוחות אשר לחוסר האיזון בצוואה ביחס לשני אחיה.</w:t>
      </w:r>
    </w:p>
    <w:p w:rsidR="0058702E" w:rsidRPr="00D0331F" w:rsidRDefault="0058702E" w:rsidP="00E0227F">
      <w:pPr>
        <w:pStyle w:val="af0"/>
        <w:numPr>
          <w:ilvl w:val="0"/>
          <w:numId w:val="4"/>
        </w:numPr>
        <w:spacing w:line="360" w:lineRule="auto"/>
        <w:jc w:val="both"/>
        <w:rPr>
          <w:rFonts w:ascii="David" w:hAnsi="David" w:cs="David"/>
          <w:sz w:val="24"/>
          <w:szCs w:val="24"/>
        </w:rPr>
      </w:pPr>
      <w:r w:rsidRPr="00D0331F">
        <w:rPr>
          <w:rFonts w:ascii="David" w:hAnsi="David" w:cs="David"/>
          <w:sz w:val="24"/>
          <w:szCs w:val="24"/>
          <w:rtl/>
        </w:rPr>
        <w:t>בכל אותן שנים חיה התובעת על חשבון הוריה, אשר סייעו לה כלכלית במאות אלפי שקלים. הוריה של התובעת מימנו את לימודיה ומגוריה בתקופת הלימודים, תמכו בה כלכלית אף לאחר נישואיה ועת התגוררה בחו"ל.</w:t>
      </w:r>
    </w:p>
    <w:p w:rsidR="0058702E" w:rsidRDefault="0058702E" w:rsidP="001453E0">
      <w:pPr>
        <w:pStyle w:val="af0"/>
        <w:numPr>
          <w:ilvl w:val="0"/>
          <w:numId w:val="4"/>
        </w:numPr>
        <w:spacing w:line="360" w:lineRule="auto"/>
        <w:jc w:val="both"/>
        <w:rPr>
          <w:rFonts w:ascii="David" w:hAnsi="David" w:cs="David"/>
          <w:sz w:val="24"/>
          <w:szCs w:val="24"/>
        </w:rPr>
      </w:pPr>
      <w:r w:rsidRPr="001453E0">
        <w:rPr>
          <w:rFonts w:ascii="David" w:hAnsi="David" w:cs="David"/>
          <w:sz w:val="24"/>
          <w:szCs w:val="24"/>
          <w:rtl/>
        </w:rPr>
        <w:t>תביעה זו, אשר בשקר יסודה, נולדה אך מתוך תאוות הבצע של התובעת (ושני אחיה) אשר אינה יודעת שובע.</w:t>
      </w:r>
    </w:p>
    <w:p w:rsidR="0058702E" w:rsidRDefault="0058702E" w:rsidP="001453E0">
      <w:pPr>
        <w:pStyle w:val="af0"/>
        <w:numPr>
          <w:ilvl w:val="0"/>
          <w:numId w:val="4"/>
        </w:numPr>
        <w:spacing w:line="360" w:lineRule="auto"/>
        <w:jc w:val="both"/>
        <w:rPr>
          <w:rFonts w:ascii="David" w:hAnsi="David" w:cs="David"/>
          <w:sz w:val="24"/>
          <w:szCs w:val="24"/>
        </w:rPr>
      </w:pPr>
      <w:r w:rsidRPr="001453E0">
        <w:rPr>
          <w:rFonts w:ascii="David" w:hAnsi="David" w:cs="David"/>
          <w:sz w:val="24"/>
          <w:szCs w:val="24"/>
          <w:rtl/>
        </w:rPr>
        <w:t xml:space="preserve">יתרה מכך, אך לאחרונה הסכים הנתבע להעניק לתובעת סכום כסף נכבד ביותר לרכישת דירה אך התנה זאת ברכישת דירה </w:t>
      </w:r>
      <w:r w:rsidR="001453E0">
        <w:rPr>
          <w:rFonts w:ascii="David" w:hAnsi="David" w:cs="David" w:hint="cs"/>
          <w:sz w:val="24"/>
          <w:szCs w:val="24"/>
          <w:rtl/>
        </w:rPr>
        <w:t xml:space="preserve">בפועל, </w:t>
      </w:r>
      <w:r w:rsidRPr="001453E0">
        <w:rPr>
          <w:rFonts w:ascii="David" w:hAnsi="David" w:cs="David"/>
          <w:sz w:val="24"/>
          <w:szCs w:val="24"/>
          <w:rtl/>
        </w:rPr>
        <w:t xml:space="preserve">שאחרת כספים אלו ייעלמו תוך זמן קצר והתובעת לא תוכל לרכוש דירה. דבר זה היה לצנינים בעיניה התובעת ומכאן החל מחול שדים שסופו בתביעה מופרכת זו. </w:t>
      </w:r>
    </w:p>
    <w:p w:rsidR="0058702E" w:rsidRDefault="0058702E" w:rsidP="001453E0">
      <w:pPr>
        <w:pStyle w:val="af0"/>
        <w:numPr>
          <w:ilvl w:val="0"/>
          <w:numId w:val="4"/>
        </w:numPr>
        <w:spacing w:line="360" w:lineRule="auto"/>
        <w:jc w:val="both"/>
        <w:rPr>
          <w:rFonts w:ascii="David" w:hAnsi="David" w:cs="David"/>
          <w:sz w:val="24"/>
          <w:szCs w:val="24"/>
        </w:rPr>
      </w:pPr>
      <w:r w:rsidRPr="001453E0">
        <w:rPr>
          <w:rFonts w:ascii="David" w:hAnsi="David" w:cs="David"/>
          <w:sz w:val="24"/>
          <w:szCs w:val="24"/>
          <w:rtl/>
        </w:rPr>
        <w:t>התובעת הסתלקה מהצוואה מרצונה החופשי וזו הסיבה מדוע לא תבעה מעולם. התובעת אישה משכילה עצמאית ודעתנית, עזבה את בית הוריה, למדה לימודים גבוהים, נישאה והביאה ילדים לעולם, חיה בארץ ובעולם ומשך תקופה ארוכה ניתקה את הקשר עם הוריה ולא הייתה כל מניעה מצד התובעת להגיש את התובענה במהלך 7 השנים שלאחר החתימה על תצהיר ההסתלקות.</w:t>
      </w:r>
    </w:p>
    <w:p w:rsidR="0058702E" w:rsidRDefault="0058702E" w:rsidP="001453E0">
      <w:pPr>
        <w:pStyle w:val="af0"/>
        <w:numPr>
          <w:ilvl w:val="0"/>
          <w:numId w:val="4"/>
        </w:numPr>
        <w:spacing w:line="360" w:lineRule="auto"/>
        <w:jc w:val="both"/>
        <w:rPr>
          <w:rFonts w:ascii="David" w:hAnsi="David" w:cs="David"/>
          <w:sz w:val="24"/>
          <w:szCs w:val="24"/>
        </w:rPr>
      </w:pPr>
      <w:r w:rsidRPr="001453E0">
        <w:rPr>
          <w:rFonts w:ascii="David" w:hAnsi="David" w:cs="David"/>
          <w:sz w:val="24"/>
          <w:szCs w:val="24"/>
          <w:rtl/>
        </w:rPr>
        <w:t>התובעת לא הוכיחה כי מתקיימים החריגים בחוק ההתיישנות אשר יש בהם כדי להאריך את התקופה והשיהוי שנקטה בו התובעת הינו שיהוי בלתי סביר.</w:t>
      </w:r>
    </w:p>
    <w:p w:rsidR="0058702E" w:rsidRDefault="001453E0" w:rsidP="00FC4EF4">
      <w:pPr>
        <w:pStyle w:val="af0"/>
        <w:numPr>
          <w:ilvl w:val="0"/>
          <w:numId w:val="4"/>
        </w:numPr>
        <w:spacing w:line="360" w:lineRule="auto"/>
        <w:jc w:val="both"/>
        <w:rPr>
          <w:rFonts w:ascii="David" w:hAnsi="David" w:cs="David"/>
          <w:sz w:val="24"/>
          <w:szCs w:val="24"/>
        </w:rPr>
      </w:pPr>
      <w:r>
        <w:rPr>
          <w:rFonts w:ascii="David" w:hAnsi="David" w:cs="David" w:hint="cs"/>
          <w:sz w:val="24"/>
          <w:szCs w:val="24"/>
          <w:rtl/>
        </w:rPr>
        <w:lastRenderedPageBreak/>
        <w:t>לא רק ש</w:t>
      </w:r>
      <w:r w:rsidR="0058702E" w:rsidRPr="001453E0">
        <w:rPr>
          <w:rFonts w:ascii="David" w:hAnsi="David" w:cs="David"/>
          <w:sz w:val="24"/>
          <w:szCs w:val="24"/>
          <w:rtl/>
        </w:rPr>
        <w:t>התובעת לא הוכיחה כי מצבה הנפשי מנע ממנה להגיש את התובענה בתוך תקופת ההתיישנות</w:t>
      </w:r>
      <w:r>
        <w:rPr>
          <w:rFonts w:ascii="David" w:hAnsi="David" w:cs="David" w:hint="cs"/>
          <w:sz w:val="24"/>
          <w:szCs w:val="24"/>
          <w:rtl/>
        </w:rPr>
        <w:t>,</w:t>
      </w:r>
      <w:r w:rsidR="0058702E" w:rsidRPr="001453E0">
        <w:rPr>
          <w:rFonts w:ascii="David" w:hAnsi="David" w:cs="David"/>
          <w:sz w:val="24"/>
          <w:szCs w:val="24"/>
          <w:rtl/>
        </w:rPr>
        <w:t xml:space="preserve"> </w:t>
      </w:r>
      <w:r>
        <w:rPr>
          <w:rFonts w:ascii="David" w:hAnsi="David" w:cs="David" w:hint="cs"/>
          <w:sz w:val="24"/>
          <w:szCs w:val="24"/>
          <w:rtl/>
        </w:rPr>
        <w:t>אלא ש</w:t>
      </w:r>
      <w:r w:rsidR="0058702E" w:rsidRPr="001453E0">
        <w:rPr>
          <w:rFonts w:ascii="David" w:hAnsi="David" w:cs="David"/>
          <w:sz w:val="24"/>
          <w:szCs w:val="24"/>
          <w:rtl/>
        </w:rPr>
        <w:t xml:space="preserve">יש </w:t>
      </w:r>
      <w:r>
        <w:rPr>
          <w:rFonts w:ascii="David" w:hAnsi="David" w:cs="David" w:hint="cs"/>
          <w:sz w:val="24"/>
          <w:szCs w:val="24"/>
          <w:rtl/>
        </w:rPr>
        <w:t xml:space="preserve">גם </w:t>
      </w:r>
      <w:r w:rsidR="0058702E" w:rsidRPr="001453E0">
        <w:rPr>
          <w:rFonts w:ascii="David" w:hAnsi="David" w:cs="David"/>
          <w:sz w:val="24"/>
          <w:szCs w:val="24"/>
          <w:rtl/>
        </w:rPr>
        <w:t xml:space="preserve">לדחות את התביעה </w:t>
      </w:r>
      <w:r>
        <w:rPr>
          <w:rFonts w:ascii="David" w:hAnsi="David" w:cs="David" w:hint="cs"/>
          <w:sz w:val="24"/>
          <w:szCs w:val="24"/>
          <w:rtl/>
        </w:rPr>
        <w:t>מכח</w:t>
      </w:r>
      <w:r w:rsidR="0058702E" w:rsidRPr="001453E0">
        <w:rPr>
          <w:rFonts w:ascii="David" w:hAnsi="David" w:cs="David"/>
          <w:sz w:val="24"/>
          <w:szCs w:val="24"/>
          <w:rtl/>
        </w:rPr>
        <w:t xml:space="preserve"> דיני השיהוי, השתק ושינוי מצבם של הנתבע ורעייתו לרעה שינוי מהותי ומשמעותי בעודם מסתמכים על הסתלקותה של התובעת מעיזבון המנוח. הנתבע ורעייתו נתנו לילדיהם סכומי עתק, בין היתר מתוך ידיעה מה היקף רכושם לאחר קיום צוואת המנוח. לו הי</w:t>
      </w:r>
      <w:r w:rsidR="001C3D3F">
        <w:rPr>
          <w:rFonts w:ascii="David" w:hAnsi="David" w:cs="David" w:hint="cs"/>
          <w:sz w:val="24"/>
          <w:szCs w:val="24"/>
          <w:rtl/>
        </w:rPr>
        <w:t xml:space="preserve">ה צו קיום צוואתו של המנוח מבוטל מבעוד מועד, </w:t>
      </w:r>
      <w:r w:rsidR="0058702E" w:rsidRPr="001453E0">
        <w:rPr>
          <w:rFonts w:ascii="David" w:hAnsi="David" w:cs="David"/>
          <w:sz w:val="24"/>
          <w:szCs w:val="24"/>
          <w:rtl/>
        </w:rPr>
        <w:t>סביר להניח כי הנתבע לא היה משלם לת</w:t>
      </w:r>
      <w:r w:rsidR="00FC4EF4">
        <w:rPr>
          <w:rFonts w:ascii="David" w:hAnsi="David" w:cs="David" w:hint="cs"/>
          <w:sz w:val="24"/>
          <w:szCs w:val="24"/>
          <w:rtl/>
        </w:rPr>
        <w:t>ו</w:t>
      </w:r>
      <w:r w:rsidR="0058702E" w:rsidRPr="001453E0">
        <w:rPr>
          <w:rFonts w:ascii="David" w:hAnsi="David" w:cs="David"/>
          <w:sz w:val="24"/>
          <w:szCs w:val="24"/>
          <w:rtl/>
        </w:rPr>
        <w:t>בעת את סכומי העתק ששילם לה מאז.</w:t>
      </w:r>
    </w:p>
    <w:p w:rsidR="00062914" w:rsidRDefault="00062914" w:rsidP="00062914">
      <w:pPr>
        <w:pStyle w:val="af0"/>
        <w:spacing w:line="360" w:lineRule="auto"/>
        <w:ind w:left="927"/>
        <w:jc w:val="both"/>
        <w:rPr>
          <w:rFonts w:ascii="David" w:hAnsi="David" w:cs="David"/>
          <w:sz w:val="16"/>
          <w:szCs w:val="16"/>
          <w:rtl/>
        </w:rPr>
      </w:pPr>
    </w:p>
    <w:p w:rsidR="00062914" w:rsidRDefault="00062914" w:rsidP="00062914">
      <w:pPr>
        <w:pStyle w:val="af0"/>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התובעת השיבה לטענת ההתיישנות, לאמור</w:t>
      </w:r>
      <w:r w:rsidR="00230FB1">
        <w:rPr>
          <w:rFonts w:ascii="David" w:hAnsi="David" w:cs="David" w:hint="cs"/>
          <w:sz w:val="24"/>
          <w:szCs w:val="24"/>
          <w:rtl/>
        </w:rPr>
        <w:t xml:space="preserve"> כי קיימת תחולה לסעיפים 8, 9, 11 ו- 18א' לחוק ההתיישנות, תשי"ח 1985 (להלן</w:t>
      </w:r>
      <w:r>
        <w:rPr>
          <w:rFonts w:ascii="David" w:hAnsi="David" w:cs="David" w:hint="cs"/>
          <w:sz w:val="24"/>
          <w:szCs w:val="24"/>
          <w:rtl/>
        </w:rPr>
        <w:t>:</w:t>
      </w:r>
      <w:r w:rsidR="00230FB1">
        <w:rPr>
          <w:rFonts w:ascii="David" w:hAnsi="David" w:cs="David" w:hint="cs"/>
          <w:sz w:val="24"/>
          <w:szCs w:val="24"/>
          <w:rtl/>
        </w:rPr>
        <w:t xml:space="preserve"> </w:t>
      </w:r>
      <w:r w:rsidR="00230FB1" w:rsidRPr="00230FB1">
        <w:rPr>
          <w:rFonts w:ascii="Miriam" w:hAnsi="Miriam" w:cs="Miriam"/>
          <w:b/>
          <w:bCs/>
          <w:rtl/>
        </w:rPr>
        <w:t>חוק ההתיישנות</w:t>
      </w:r>
      <w:r w:rsidR="00230FB1">
        <w:rPr>
          <w:rFonts w:ascii="David" w:hAnsi="David" w:cs="David" w:hint="cs"/>
          <w:sz w:val="24"/>
          <w:szCs w:val="24"/>
          <w:rtl/>
        </w:rPr>
        <w:t>).</w:t>
      </w:r>
      <w:r>
        <w:rPr>
          <w:rFonts w:ascii="David" w:hAnsi="David" w:cs="David" w:hint="cs"/>
          <w:sz w:val="24"/>
          <w:szCs w:val="24"/>
          <w:rtl/>
        </w:rPr>
        <w:t xml:space="preserve"> </w:t>
      </w:r>
    </w:p>
    <w:p w:rsidR="00230FB1" w:rsidRPr="00230FB1" w:rsidRDefault="00230FB1" w:rsidP="00230FB1">
      <w:pPr>
        <w:pStyle w:val="af0"/>
        <w:spacing w:line="360" w:lineRule="auto"/>
        <w:ind w:left="567"/>
        <w:jc w:val="both"/>
        <w:rPr>
          <w:rFonts w:ascii="David" w:hAnsi="David" w:cs="David"/>
          <w:sz w:val="16"/>
          <w:szCs w:val="16"/>
        </w:rPr>
      </w:pPr>
    </w:p>
    <w:p w:rsidR="00AB3BD1" w:rsidRPr="00AB3BD1" w:rsidRDefault="00AB3BD1" w:rsidP="00AB3BD1">
      <w:pPr>
        <w:spacing w:line="360" w:lineRule="auto"/>
        <w:jc w:val="both"/>
        <w:rPr>
          <w:rFonts w:ascii="David" w:hAnsi="David"/>
          <w:b/>
          <w:bCs/>
        </w:rPr>
      </w:pPr>
      <w:r w:rsidRPr="00AB3BD1">
        <w:rPr>
          <w:rFonts w:ascii="David" w:hAnsi="David" w:hint="cs"/>
          <w:b/>
          <w:bCs/>
          <w:rtl/>
        </w:rPr>
        <w:t xml:space="preserve">ג' </w:t>
      </w:r>
      <w:r w:rsidRPr="00AB3BD1">
        <w:rPr>
          <w:rFonts w:ascii="David" w:hAnsi="David"/>
          <w:b/>
          <w:bCs/>
          <w:rtl/>
        </w:rPr>
        <w:t>–</w:t>
      </w:r>
      <w:r w:rsidRPr="00AB3BD1">
        <w:rPr>
          <w:rFonts w:ascii="David" w:hAnsi="David" w:hint="cs"/>
          <w:b/>
          <w:bCs/>
          <w:rtl/>
        </w:rPr>
        <w:t xml:space="preserve"> דיון:</w:t>
      </w:r>
    </w:p>
    <w:p w:rsidR="0058702E" w:rsidRPr="00AB3BD1" w:rsidRDefault="0058702E" w:rsidP="0058702E">
      <w:pPr>
        <w:spacing w:line="360" w:lineRule="auto"/>
        <w:jc w:val="both"/>
        <w:rPr>
          <w:rFonts w:ascii="David" w:hAnsi="David"/>
          <w:b/>
          <w:bCs/>
          <w:sz w:val="16"/>
          <w:szCs w:val="16"/>
          <w:rtl/>
        </w:rPr>
      </w:pPr>
    </w:p>
    <w:p w:rsidR="00062914" w:rsidRDefault="00062914" w:rsidP="00230FB1">
      <w:pPr>
        <w:pStyle w:val="af0"/>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על מנת ל</w:t>
      </w:r>
      <w:r w:rsidR="00230FB1">
        <w:rPr>
          <w:rFonts w:ascii="David" w:hAnsi="David" w:cs="David" w:hint="cs"/>
          <w:sz w:val="24"/>
          <w:szCs w:val="24"/>
          <w:rtl/>
        </w:rPr>
        <w:t xml:space="preserve">הכריע </w:t>
      </w:r>
      <w:r>
        <w:rPr>
          <w:rFonts w:ascii="David" w:hAnsi="David" w:cs="David" w:hint="cs"/>
          <w:sz w:val="24"/>
          <w:szCs w:val="24"/>
          <w:rtl/>
        </w:rPr>
        <w:t>בעניין ההתיישנות יש לברר תחילה האם מצבה של התובעת ברבות השנים מנע ממנה נקיטת הליכים, ו</w:t>
      </w:r>
      <w:r w:rsidR="00230FB1">
        <w:rPr>
          <w:rFonts w:ascii="David" w:hAnsi="David" w:cs="David" w:hint="cs"/>
          <w:sz w:val="24"/>
          <w:szCs w:val="24"/>
          <w:rtl/>
        </w:rPr>
        <w:t>כן להתעמק במארג היחסים, שלפי הטענה, היווה גורם משמעותי באי נקיטת ההליכים ו</w:t>
      </w:r>
      <w:r w:rsidR="00BD09E6">
        <w:rPr>
          <w:rFonts w:ascii="David" w:hAnsi="David" w:cs="David" w:hint="cs"/>
          <w:sz w:val="24"/>
          <w:szCs w:val="24"/>
          <w:rtl/>
        </w:rPr>
        <w:t>לכך</w:t>
      </w:r>
      <w:r>
        <w:rPr>
          <w:rFonts w:ascii="David" w:hAnsi="David" w:cs="David" w:hint="cs"/>
          <w:sz w:val="24"/>
          <w:szCs w:val="24"/>
          <w:rtl/>
        </w:rPr>
        <w:t xml:space="preserve"> אתייחס לעניין זה בהמשך.</w:t>
      </w:r>
    </w:p>
    <w:p w:rsidR="00062914" w:rsidRPr="00230FB1" w:rsidRDefault="00062914" w:rsidP="00062914">
      <w:pPr>
        <w:pStyle w:val="af0"/>
        <w:spacing w:line="360" w:lineRule="auto"/>
        <w:ind w:left="567"/>
        <w:jc w:val="both"/>
        <w:rPr>
          <w:rFonts w:ascii="David" w:hAnsi="David" w:cs="David"/>
          <w:sz w:val="18"/>
          <w:szCs w:val="18"/>
        </w:rPr>
      </w:pPr>
    </w:p>
    <w:p w:rsidR="0058702E" w:rsidRDefault="0058702E" w:rsidP="0058702E">
      <w:pPr>
        <w:pStyle w:val="af0"/>
        <w:numPr>
          <w:ilvl w:val="0"/>
          <w:numId w:val="1"/>
        </w:numPr>
        <w:spacing w:line="360" w:lineRule="auto"/>
        <w:ind w:left="567" w:hanging="567"/>
        <w:jc w:val="both"/>
        <w:rPr>
          <w:rFonts w:ascii="David" w:hAnsi="David" w:cs="David"/>
          <w:sz w:val="24"/>
          <w:szCs w:val="24"/>
        </w:rPr>
      </w:pPr>
      <w:r>
        <w:rPr>
          <w:rFonts w:ascii="David" w:hAnsi="David" w:cs="David"/>
          <w:sz w:val="24"/>
          <w:szCs w:val="24"/>
          <w:rtl/>
        </w:rPr>
        <w:t>סעיף 72(א) לחוק הירושה קובע כדלהלן: "</w:t>
      </w:r>
      <w:r>
        <w:rPr>
          <w:rFonts w:ascii="David" w:hAnsi="David" w:cs="David"/>
          <w:b/>
          <w:bCs/>
          <w:sz w:val="24"/>
          <w:szCs w:val="24"/>
          <w:rtl/>
        </w:rPr>
        <w:t>נתן רשם לעניני ירושה או בית משפט צו ירושה או צו קיום, רשאי כל אחד מהם, לגבי צווים שנתן, לפי בקשת מעוניין בדבר, לתקנם או לבטלם על סמך עובדות או טענות שלא היו בפניו בזמן מתן הצו ...</w:t>
      </w:r>
      <w:r>
        <w:rPr>
          <w:rFonts w:ascii="David" w:hAnsi="David" w:cs="David"/>
          <w:sz w:val="24"/>
          <w:szCs w:val="24"/>
          <w:rtl/>
        </w:rPr>
        <w:t xml:space="preserve">". משמונחת בפני בית המשפט בקשה לביטול צו קיום צוואה שניתן על ידו, הרי שעל פי תקנה 27(ג) לתקנות הירושה תשנ"ח – 1998: "... </w:t>
      </w:r>
      <w:r>
        <w:rPr>
          <w:rFonts w:ascii="David" w:hAnsi="David" w:cs="David"/>
          <w:b/>
          <w:bCs/>
          <w:sz w:val="24"/>
          <w:szCs w:val="24"/>
          <w:rtl/>
        </w:rPr>
        <w:t>בית המשפט רשאי שלא להיזקק לעובדה או לטענה שהמבקש יכול היה להביאה לפניו לפני מתן הצו, או שיכול היה להביאה לאחר מכן ולא עשה כן בהזדמנות הסבירה הראשונה</w:t>
      </w:r>
      <w:r>
        <w:rPr>
          <w:rFonts w:ascii="David" w:hAnsi="David" w:cs="David"/>
          <w:sz w:val="24"/>
          <w:szCs w:val="24"/>
          <w:rtl/>
        </w:rPr>
        <w:t>".</w:t>
      </w:r>
    </w:p>
    <w:p w:rsidR="0058702E" w:rsidRPr="00AB3BD1" w:rsidRDefault="0058702E" w:rsidP="0058702E">
      <w:pPr>
        <w:pStyle w:val="af0"/>
        <w:rPr>
          <w:rFonts w:ascii="David" w:hAnsi="David" w:cs="David"/>
          <w:sz w:val="16"/>
          <w:szCs w:val="16"/>
          <w:rtl/>
        </w:rPr>
      </w:pPr>
    </w:p>
    <w:p w:rsidR="0058702E" w:rsidRDefault="0058702E" w:rsidP="00DF3A21">
      <w:pPr>
        <w:pStyle w:val="af0"/>
        <w:numPr>
          <w:ilvl w:val="0"/>
          <w:numId w:val="1"/>
        </w:numPr>
        <w:spacing w:line="360" w:lineRule="auto"/>
        <w:ind w:left="567" w:hanging="567"/>
        <w:jc w:val="both"/>
        <w:rPr>
          <w:rFonts w:ascii="David" w:hAnsi="David" w:cs="David"/>
          <w:b/>
          <w:bCs/>
          <w:sz w:val="24"/>
          <w:szCs w:val="24"/>
        </w:rPr>
      </w:pPr>
      <w:r>
        <w:rPr>
          <w:rFonts w:ascii="David" w:hAnsi="David" w:cs="David"/>
          <w:sz w:val="24"/>
          <w:szCs w:val="24"/>
          <w:rtl/>
        </w:rPr>
        <w:t>בעת שמוגשת בקשה לביטול צו ירושה או צו קיום צוואה, על בית המשפט לערוך בחינה מדוקד</w:t>
      </w:r>
      <w:r w:rsidRPr="00DF3A21">
        <w:rPr>
          <w:rFonts w:ascii="David" w:hAnsi="David" w:cs="David"/>
          <w:sz w:val="24"/>
          <w:szCs w:val="24"/>
          <w:rtl/>
        </w:rPr>
        <w:t xml:space="preserve">קת של הטענה או העובדה החדשה, ולהכריע האם אכן קיים טעם המצדיק ביטולו או תיקונו של הצו. בע"א 516/80 </w:t>
      </w:r>
      <w:r w:rsidRPr="00DF3A21">
        <w:rPr>
          <w:rFonts w:ascii="David" w:hAnsi="David" w:cs="David"/>
          <w:b/>
          <w:bCs/>
          <w:sz w:val="24"/>
          <w:szCs w:val="24"/>
          <w:rtl/>
        </w:rPr>
        <w:t>אילן חיים לשינסקי נ' משה שפירא</w:t>
      </w:r>
      <w:r w:rsidRPr="00DF3A21">
        <w:rPr>
          <w:rFonts w:ascii="David" w:hAnsi="David" w:cs="David"/>
          <w:sz w:val="24"/>
          <w:szCs w:val="24"/>
          <w:rtl/>
        </w:rPr>
        <w:t xml:space="preserve"> (פורסם בנבו, 4.11.82; להלן: </w:t>
      </w:r>
      <w:r w:rsidR="00DF3A21">
        <w:rPr>
          <w:rFonts w:ascii="Miriam" w:hAnsi="Miriam" w:cs="Miriam" w:hint="cs"/>
          <w:b/>
          <w:bCs/>
          <w:rtl/>
        </w:rPr>
        <w:t>עניין לשינסקי</w:t>
      </w:r>
      <w:r w:rsidRPr="00DF3A21">
        <w:rPr>
          <w:rFonts w:ascii="David" w:hAnsi="David" w:cs="David"/>
          <w:sz w:val="24"/>
          <w:szCs w:val="24"/>
          <w:rtl/>
        </w:rPr>
        <w:t xml:space="preserve">) נקבע כדלהלן: </w:t>
      </w:r>
      <w:r w:rsidRPr="00DF3A21">
        <w:rPr>
          <w:rFonts w:ascii="David" w:hAnsi="David" w:cs="David"/>
          <w:b/>
          <w:bCs/>
          <w:sz w:val="24"/>
          <w:szCs w:val="24"/>
          <w:rtl/>
        </w:rPr>
        <w:t>"נראה לי, כי על-פי</w:t>
      </w:r>
      <w:r w:rsidRPr="00DF3A21">
        <w:rPr>
          <w:rFonts w:ascii="David" w:hAnsi="David" w:cs="David"/>
          <w:b/>
          <w:bCs/>
          <w:sz w:val="24"/>
          <w:szCs w:val="24"/>
        </w:rPr>
        <w:t xml:space="preserve"> </w:t>
      </w:r>
      <w:r w:rsidRPr="00DF3A21">
        <w:rPr>
          <w:rFonts w:ascii="David" w:hAnsi="David" w:cs="David"/>
          <w:b/>
          <w:bCs/>
          <w:sz w:val="24"/>
          <w:szCs w:val="24"/>
          <w:rtl/>
        </w:rPr>
        <w:t>הפירוש הנכון של סעיף 72(א), רשאי בית ה</w:t>
      </w:r>
      <w:r>
        <w:rPr>
          <w:rFonts w:ascii="David" w:hAnsi="David" w:cs="David"/>
          <w:b/>
          <w:bCs/>
          <w:sz w:val="24"/>
          <w:szCs w:val="24"/>
          <w:rtl/>
        </w:rPr>
        <w:t>משפט להחליט, כי אין הוא מוכן להיזקק לעובדות או לטענות החדשות במקרים הבאים</w:t>
      </w:r>
      <w:r>
        <w:rPr>
          <w:rFonts w:ascii="David" w:hAnsi="David" w:cs="David"/>
          <w:b/>
          <w:bCs/>
          <w:sz w:val="24"/>
          <w:szCs w:val="24"/>
        </w:rPr>
        <w:t>:</w:t>
      </w:r>
      <w:r>
        <w:rPr>
          <w:rFonts w:ascii="David" w:hAnsi="David" w:cs="David"/>
          <w:b/>
          <w:bCs/>
          <w:sz w:val="24"/>
          <w:szCs w:val="24"/>
          <w:rtl/>
        </w:rPr>
        <w:t xml:space="preserve"> א. כאשר צד לדיון המקורי היה ער לעובדה או לטענה ויכול היה להביאן לפני בית המשפט לפני מתן צו הירושה, אך לא עשה כן עד למתן הצו</w:t>
      </w:r>
      <w:r>
        <w:rPr>
          <w:rFonts w:ascii="David" w:hAnsi="David" w:cs="David"/>
          <w:b/>
          <w:bCs/>
          <w:sz w:val="24"/>
          <w:szCs w:val="24"/>
        </w:rPr>
        <w:t>;</w:t>
      </w:r>
      <w:r>
        <w:rPr>
          <w:rFonts w:ascii="David" w:hAnsi="David" w:cs="David"/>
          <w:b/>
          <w:bCs/>
          <w:sz w:val="24"/>
          <w:szCs w:val="24"/>
          <w:rtl/>
        </w:rPr>
        <w:t xml:space="preserve"> ב. הוא הדין</w:t>
      </w:r>
      <w:r>
        <w:rPr>
          <w:rFonts w:ascii="David" w:hAnsi="David" w:cs="David"/>
          <w:b/>
          <w:bCs/>
          <w:sz w:val="24"/>
          <w:szCs w:val="24"/>
        </w:rPr>
        <w:t xml:space="preserve"> </w:t>
      </w:r>
      <w:r>
        <w:rPr>
          <w:rFonts w:ascii="David" w:hAnsi="David" w:cs="David"/>
          <w:b/>
          <w:bCs/>
          <w:sz w:val="24"/>
          <w:szCs w:val="24"/>
          <w:rtl/>
        </w:rPr>
        <w:t>באדם, שלא השתתף בדיון על הוצאת צו הירושה, אך הוא בכל זאת צד מעוניין בחלוקת העיזבון</w:t>
      </w:r>
      <w:r>
        <w:rPr>
          <w:rFonts w:ascii="David" w:hAnsi="David" w:cs="David"/>
          <w:b/>
          <w:bCs/>
          <w:sz w:val="24"/>
          <w:szCs w:val="24"/>
        </w:rPr>
        <w:t>;</w:t>
      </w:r>
      <w:r>
        <w:rPr>
          <w:rFonts w:ascii="David" w:hAnsi="David" w:cs="David"/>
          <w:b/>
          <w:bCs/>
          <w:sz w:val="24"/>
          <w:szCs w:val="24"/>
          <w:rtl/>
        </w:rPr>
        <w:t xml:space="preserve"> ג. כאשר העובדות או הטענות הובאו לידיעת הצד המעוניין רק לאחר מתן צו הירושה, אך הוא השהה את הגשת בקשתו לתיקון צו הירושה במשך זמן בלתי סביר..." </w:t>
      </w:r>
      <w:r>
        <w:rPr>
          <w:rFonts w:ascii="David" w:hAnsi="David" w:cs="David"/>
          <w:sz w:val="24"/>
          <w:szCs w:val="24"/>
          <w:rtl/>
        </w:rPr>
        <w:t>(ר' עמ' 345 לפסק דין).</w:t>
      </w:r>
      <w:r>
        <w:rPr>
          <w:rFonts w:ascii="David" w:hAnsi="David" w:cs="David"/>
          <w:b/>
          <w:bCs/>
          <w:sz w:val="24"/>
          <w:szCs w:val="24"/>
          <w:rtl/>
        </w:rPr>
        <w:t xml:space="preserve"> </w:t>
      </w:r>
    </w:p>
    <w:p w:rsidR="0058702E" w:rsidRPr="00AB3BD1" w:rsidRDefault="0058702E" w:rsidP="0058702E">
      <w:pPr>
        <w:pStyle w:val="af0"/>
        <w:rPr>
          <w:rFonts w:ascii="David" w:hAnsi="David" w:cs="David"/>
          <w:sz w:val="16"/>
          <w:szCs w:val="16"/>
          <w:rtl/>
        </w:rPr>
      </w:pPr>
    </w:p>
    <w:p w:rsidR="0058702E" w:rsidRPr="00FC4EF4" w:rsidRDefault="0058702E" w:rsidP="00FC4EF4">
      <w:pPr>
        <w:pStyle w:val="af0"/>
        <w:numPr>
          <w:ilvl w:val="0"/>
          <w:numId w:val="1"/>
        </w:numPr>
        <w:spacing w:line="360" w:lineRule="auto"/>
        <w:ind w:left="567" w:hanging="567"/>
        <w:jc w:val="both"/>
        <w:rPr>
          <w:rFonts w:ascii="David" w:hAnsi="David" w:cs="David"/>
          <w:sz w:val="24"/>
          <w:szCs w:val="24"/>
        </w:rPr>
      </w:pPr>
      <w:r>
        <w:rPr>
          <w:rFonts w:ascii="David" w:hAnsi="David" w:cs="David"/>
          <w:sz w:val="24"/>
          <w:szCs w:val="24"/>
          <w:rtl/>
        </w:rPr>
        <w:t>לעניין השיהוי נקבע ב</w:t>
      </w:r>
      <w:r w:rsidR="00DF3A21">
        <w:rPr>
          <w:rFonts w:ascii="David" w:hAnsi="David" w:cs="David" w:hint="cs"/>
          <w:sz w:val="24"/>
          <w:szCs w:val="24"/>
          <w:rtl/>
        </w:rPr>
        <w:t>עניין לשינסקי</w:t>
      </w:r>
      <w:r>
        <w:rPr>
          <w:rFonts w:ascii="David" w:hAnsi="David" w:cs="David"/>
          <w:sz w:val="24"/>
          <w:szCs w:val="24"/>
          <w:rtl/>
        </w:rPr>
        <w:t xml:space="preserve"> כי על בית המשפט להביא בחשבון את השיקולים שלהלן:</w:t>
      </w:r>
      <w:r w:rsidR="00FC4EF4">
        <w:rPr>
          <w:rFonts w:ascii="David" w:hAnsi="David" w:cs="David" w:hint="cs"/>
          <w:sz w:val="24"/>
          <w:szCs w:val="24"/>
          <w:rtl/>
        </w:rPr>
        <w:t xml:space="preserve"> (א) </w:t>
      </w:r>
      <w:r w:rsidRPr="00FC4EF4">
        <w:rPr>
          <w:rFonts w:ascii="David" w:hAnsi="David" w:cs="David"/>
          <w:sz w:val="24"/>
          <w:szCs w:val="24"/>
          <w:rtl/>
        </w:rPr>
        <w:t>מידת האיחור בהגשת הבקשה ובהבאת העובדות ו/או הטענות בפני בית המשפט;</w:t>
      </w:r>
      <w:r w:rsidR="00FC4EF4">
        <w:rPr>
          <w:rFonts w:ascii="David" w:hAnsi="David" w:cs="David" w:hint="cs"/>
          <w:sz w:val="24"/>
          <w:szCs w:val="24"/>
          <w:rtl/>
        </w:rPr>
        <w:t xml:space="preserve"> (ב) </w:t>
      </w:r>
      <w:r w:rsidRPr="00FC4EF4">
        <w:rPr>
          <w:rFonts w:ascii="David" w:hAnsi="David" w:cs="David"/>
          <w:sz w:val="24"/>
          <w:szCs w:val="24"/>
          <w:rtl/>
        </w:rPr>
        <w:t>הסברו של מבקש הביטול לאיחור ומידת הסבירות של הסבר זה;</w:t>
      </w:r>
      <w:r w:rsidR="00FC4EF4">
        <w:rPr>
          <w:rFonts w:ascii="David" w:hAnsi="David" w:cs="David" w:hint="cs"/>
          <w:sz w:val="24"/>
          <w:szCs w:val="24"/>
          <w:rtl/>
        </w:rPr>
        <w:t xml:space="preserve"> (ג) </w:t>
      </w:r>
      <w:r w:rsidRPr="00FC4EF4">
        <w:rPr>
          <w:rFonts w:ascii="David" w:hAnsi="David" w:cs="David"/>
          <w:sz w:val="24"/>
          <w:szCs w:val="24"/>
          <w:rtl/>
        </w:rPr>
        <w:t>האם בעטיו של האיחור נוצר קושי לברר את עובדות המקרה לאשורן</w:t>
      </w:r>
      <w:r w:rsidR="00FC4EF4" w:rsidRPr="00FC4EF4">
        <w:rPr>
          <w:rFonts w:ascii="David" w:hAnsi="David" w:cs="David" w:hint="cs"/>
          <w:sz w:val="24"/>
          <w:szCs w:val="24"/>
          <w:rtl/>
        </w:rPr>
        <w:t xml:space="preserve">. </w:t>
      </w:r>
    </w:p>
    <w:p w:rsidR="0058702E" w:rsidRDefault="0058702E" w:rsidP="00D80559">
      <w:pPr>
        <w:pStyle w:val="af0"/>
        <w:numPr>
          <w:ilvl w:val="0"/>
          <w:numId w:val="1"/>
        </w:numPr>
        <w:spacing w:line="360" w:lineRule="auto"/>
        <w:ind w:left="567" w:hanging="567"/>
        <w:jc w:val="both"/>
        <w:rPr>
          <w:rFonts w:ascii="David" w:hAnsi="David" w:cs="David"/>
          <w:sz w:val="24"/>
          <w:szCs w:val="24"/>
        </w:rPr>
      </w:pPr>
      <w:r>
        <w:rPr>
          <w:rFonts w:ascii="David" w:hAnsi="David" w:cs="David"/>
          <w:sz w:val="24"/>
          <w:szCs w:val="24"/>
          <w:rtl/>
        </w:rPr>
        <w:lastRenderedPageBreak/>
        <w:t xml:space="preserve">בע"א 601/88 </w:t>
      </w:r>
      <w:r>
        <w:rPr>
          <w:rFonts w:ascii="David" w:hAnsi="David" w:cs="David"/>
          <w:b/>
          <w:bCs/>
          <w:sz w:val="24"/>
          <w:szCs w:val="24"/>
          <w:rtl/>
        </w:rPr>
        <w:t>עיזבון המנוח מיכאל רודה ז"ל נ' ורדה שרייבר</w:t>
      </w:r>
      <w:r>
        <w:rPr>
          <w:rFonts w:ascii="David" w:hAnsi="David" w:cs="David"/>
          <w:sz w:val="24"/>
          <w:szCs w:val="24"/>
          <w:rtl/>
        </w:rPr>
        <w:t xml:space="preserve"> (נבו, 15.4.93</w:t>
      </w:r>
      <w:r w:rsidR="00D80559">
        <w:rPr>
          <w:rFonts w:ascii="David" w:hAnsi="David" w:cs="David" w:hint="cs"/>
          <w:sz w:val="24"/>
          <w:szCs w:val="24"/>
          <w:rtl/>
        </w:rPr>
        <w:t>)</w:t>
      </w:r>
      <w:r>
        <w:rPr>
          <w:rFonts w:ascii="David" w:hAnsi="David" w:cs="David"/>
          <w:sz w:val="24"/>
          <w:szCs w:val="24"/>
          <w:rtl/>
        </w:rPr>
        <w:t xml:space="preserve"> נקבע כי בקשה לביטול צו קיום צוואה שניתן תיבחן בזהירות רבה, </w:t>
      </w:r>
      <w:r w:rsidR="00FC4EF4">
        <w:rPr>
          <w:rFonts w:ascii="David" w:hAnsi="David" w:cs="David" w:hint="cs"/>
          <w:sz w:val="24"/>
          <w:szCs w:val="24"/>
          <w:rtl/>
        </w:rPr>
        <w:t>לאמור</w:t>
      </w:r>
      <w:r>
        <w:rPr>
          <w:rFonts w:ascii="David" w:hAnsi="David" w:cs="David"/>
          <w:sz w:val="24"/>
          <w:szCs w:val="24"/>
          <w:rtl/>
        </w:rPr>
        <w:t>: "</w:t>
      </w:r>
      <w:r>
        <w:rPr>
          <w:rFonts w:ascii="David" w:hAnsi="David" w:cs="David"/>
          <w:b/>
          <w:bCs/>
          <w:sz w:val="24"/>
          <w:szCs w:val="24"/>
          <w:rtl/>
        </w:rPr>
        <w:t>מלשון הסיפא של סעיף 72(א) עולה, כי בית המשפט אינו חייב לדחות בקשה המוגשת לפי סעיף זה, אף אם הוגשה שלא בהזדמנות הסבירה הראשונה, ונתון לו שיקול דעת בכגון דא. יחד עם  זאת, ראוי כי ההיזקקות לבקשות המוגשות באיחור לא תיעשה על דרך השגרה, וכי הדבר ייעשה על יסוד שיקולים ענייניים ומבוססים... אשר יביאו בחשבון את חומרת הפגיעה בכל אחד מן הצדדים עקב שינוי הצו המקורי (או אי שינויו) ואת הקושי אשר עלולה ההשתהות בהגשת הבקשה לתיקון לגרום בבירור זכויות הצדדים... רק בדרך זו ניתן יהיה להשיג את התכלית החקיקתית הטמונה ביסוד הסיפא של הוראת סעיף 72(א): תחימת מסגרת זמן מגובשת ומוגדרת ככל האפשר, בה ניתן יהיה להביא לשינויים של צו ירושה או צו קיום צוואה, אם נפלו בהם טעות או פגם</w:t>
      </w:r>
      <w:r>
        <w:rPr>
          <w:rFonts w:ascii="David" w:hAnsi="David" w:cs="David"/>
          <w:sz w:val="24"/>
          <w:szCs w:val="24"/>
          <w:rtl/>
        </w:rPr>
        <w:t>" (עמ' 20 לפסק הדין).</w:t>
      </w:r>
    </w:p>
    <w:p w:rsidR="0058702E" w:rsidRPr="00AB3BD1" w:rsidRDefault="0058702E" w:rsidP="0058702E">
      <w:pPr>
        <w:pStyle w:val="af0"/>
        <w:rPr>
          <w:rFonts w:ascii="David" w:hAnsi="David" w:cs="David"/>
          <w:sz w:val="16"/>
          <w:szCs w:val="16"/>
        </w:rPr>
      </w:pPr>
    </w:p>
    <w:p w:rsidR="0058702E" w:rsidRDefault="0058702E" w:rsidP="00B4422D">
      <w:pPr>
        <w:pStyle w:val="af0"/>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בהקשר זה נמנו בע"א 4440/91 </w:t>
      </w:r>
      <w:r>
        <w:rPr>
          <w:rFonts w:ascii="David" w:hAnsi="David" w:cs="David"/>
          <w:b/>
          <w:bCs/>
          <w:sz w:val="24"/>
          <w:szCs w:val="24"/>
          <w:rtl/>
        </w:rPr>
        <w:t>צבי טורנר נ' מאיר טורנר</w:t>
      </w:r>
      <w:r>
        <w:rPr>
          <w:rFonts w:ascii="David" w:hAnsi="David" w:cs="David"/>
          <w:sz w:val="24"/>
          <w:szCs w:val="24"/>
          <w:rtl/>
        </w:rPr>
        <w:t xml:space="preserve"> (נבו, 14.6.1993) השיקולים הצריכים להנחות את בית המשפט בבואו לבחון האם לוקה הבקשה לביטול צו הקיום בשיהוי. שיקולים אלה נוגעים למהותה, טיבה, ומשקלה הלכאורי של הטענה החדשה; למידת האיחור בהגשת הבקשה וסבירותו של ההסבר לאיחור; ולשאלה האם השיהוי יצר קושי בבירור עובדות המקרה. עוד נקבע בפסיקה כי השיהוי נמדד מן המועד שבו נתגלתה למבקש אותה עובדה או טענה חדשה המצדיקה את הביטול (רע"א 2590/93 </w:t>
      </w:r>
      <w:r>
        <w:rPr>
          <w:rFonts w:ascii="David" w:hAnsi="David" w:cs="David"/>
          <w:b/>
          <w:bCs/>
          <w:sz w:val="24"/>
          <w:szCs w:val="24"/>
          <w:rtl/>
        </w:rPr>
        <w:t>עאסי נ' עאסי</w:t>
      </w:r>
      <w:r>
        <w:rPr>
          <w:rFonts w:ascii="David" w:hAnsi="David" w:cs="David"/>
          <w:sz w:val="24"/>
          <w:szCs w:val="24"/>
          <w:rtl/>
        </w:rPr>
        <w:t xml:space="preserve"> (</w:t>
      </w:r>
      <w:r w:rsidR="00B4422D">
        <w:rPr>
          <w:rFonts w:ascii="David" w:hAnsi="David" w:cs="David" w:hint="cs"/>
          <w:sz w:val="24"/>
          <w:szCs w:val="24"/>
          <w:rtl/>
        </w:rPr>
        <w:t>נ</w:t>
      </w:r>
      <w:r>
        <w:rPr>
          <w:rFonts w:ascii="David" w:hAnsi="David" w:cs="David"/>
          <w:sz w:val="24"/>
          <w:szCs w:val="24"/>
          <w:rtl/>
        </w:rPr>
        <w:t>בו, 9.5.</w:t>
      </w:r>
      <w:r w:rsidR="00B4422D">
        <w:rPr>
          <w:rFonts w:ascii="David" w:hAnsi="David" w:cs="David" w:hint="cs"/>
          <w:sz w:val="24"/>
          <w:szCs w:val="24"/>
          <w:rtl/>
        </w:rPr>
        <w:t>1995</w:t>
      </w:r>
      <w:r>
        <w:rPr>
          <w:rFonts w:ascii="David" w:hAnsi="David" w:cs="David"/>
          <w:sz w:val="24"/>
          <w:szCs w:val="24"/>
          <w:rtl/>
        </w:rPr>
        <w:t xml:space="preserve">) </w:t>
      </w:r>
      <w:r w:rsidR="00B4422D">
        <w:rPr>
          <w:rFonts w:ascii="David" w:hAnsi="David" w:cs="David" w:hint="cs"/>
          <w:sz w:val="24"/>
          <w:szCs w:val="24"/>
          <w:rtl/>
        </w:rPr>
        <w:t>ב</w:t>
      </w:r>
      <w:r>
        <w:rPr>
          <w:rFonts w:ascii="David" w:hAnsi="David" w:cs="David"/>
          <w:sz w:val="24"/>
          <w:szCs w:val="24"/>
          <w:rtl/>
        </w:rPr>
        <w:t xml:space="preserve">עמ' 4). </w:t>
      </w:r>
    </w:p>
    <w:p w:rsidR="0058702E" w:rsidRPr="00B4422D" w:rsidRDefault="0058702E" w:rsidP="0058702E">
      <w:pPr>
        <w:pStyle w:val="af0"/>
        <w:rPr>
          <w:rFonts w:ascii="David" w:hAnsi="David" w:cs="David"/>
          <w:sz w:val="16"/>
          <w:szCs w:val="16"/>
          <w:rtl/>
        </w:rPr>
      </w:pPr>
    </w:p>
    <w:p w:rsidR="0058702E" w:rsidRDefault="0058702E" w:rsidP="0058702E">
      <w:pPr>
        <w:pStyle w:val="af0"/>
        <w:spacing w:line="360" w:lineRule="auto"/>
        <w:ind w:left="567"/>
        <w:jc w:val="both"/>
        <w:rPr>
          <w:rFonts w:ascii="David" w:hAnsi="David" w:cs="David"/>
          <w:sz w:val="24"/>
          <w:szCs w:val="24"/>
        </w:rPr>
      </w:pPr>
      <w:r>
        <w:rPr>
          <w:rFonts w:ascii="David" w:hAnsi="David" w:cs="David"/>
          <w:sz w:val="24"/>
          <w:szCs w:val="24"/>
          <w:rtl/>
        </w:rPr>
        <w:t xml:space="preserve">לפיכך יש חשיבות רבה כי הטוען לביטולו של הצו יוכיח </w:t>
      </w:r>
      <w:r w:rsidRPr="00FC4EF4">
        <w:rPr>
          <w:rFonts w:ascii="David" w:hAnsi="David" w:cs="David"/>
          <w:b/>
          <w:bCs/>
          <w:i/>
          <w:iCs/>
          <w:sz w:val="24"/>
          <w:szCs w:val="24"/>
          <w:rtl/>
        </w:rPr>
        <w:t>במפורש ובמדויק</w:t>
      </w:r>
      <w:r>
        <w:rPr>
          <w:rFonts w:ascii="David" w:hAnsi="David" w:cs="David"/>
          <w:sz w:val="24"/>
          <w:szCs w:val="24"/>
          <w:rtl/>
        </w:rPr>
        <w:t xml:space="preserve"> את המועד שבו התגלתה לו העובדה או הטענה בשמה יש להורות על ביטול הצו, כשהנטל בעניין זה מונח לפתחו של מבקש הביטול.</w:t>
      </w:r>
    </w:p>
    <w:p w:rsidR="0058702E" w:rsidRPr="00B4422D" w:rsidRDefault="0058702E" w:rsidP="0058702E">
      <w:pPr>
        <w:pStyle w:val="af0"/>
        <w:spacing w:line="360" w:lineRule="auto"/>
        <w:ind w:left="567"/>
        <w:jc w:val="both"/>
        <w:rPr>
          <w:rFonts w:ascii="David" w:hAnsi="David" w:cs="David"/>
          <w:sz w:val="16"/>
          <w:szCs w:val="16"/>
          <w:rtl/>
        </w:rPr>
      </w:pPr>
    </w:p>
    <w:p w:rsidR="0058702E" w:rsidRDefault="0058702E" w:rsidP="0058702E">
      <w:pPr>
        <w:pStyle w:val="af0"/>
        <w:numPr>
          <w:ilvl w:val="0"/>
          <w:numId w:val="1"/>
        </w:numPr>
        <w:spacing w:line="360" w:lineRule="auto"/>
        <w:ind w:left="567" w:hanging="567"/>
        <w:jc w:val="both"/>
        <w:rPr>
          <w:rFonts w:ascii="David" w:eastAsia="Times New Roman" w:hAnsi="David" w:cs="David"/>
          <w:color w:val="000000"/>
          <w:sz w:val="24"/>
          <w:szCs w:val="24"/>
          <w:rtl/>
        </w:rPr>
      </w:pPr>
      <w:r>
        <w:rPr>
          <w:rFonts w:ascii="David" w:hAnsi="David" w:cs="David"/>
          <w:sz w:val="24"/>
          <w:szCs w:val="24"/>
          <w:rtl/>
        </w:rPr>
        <w:t xml:space="preserve">במקרה שבפניי הוגשה הבקשה לביטול צו הקיום על ידי נכדתו של המנוח, שעל פי הצואה זוכה למחצית מזכויות המנוח בביתו. </w:t>
      </w:r>
    </w:p>
    <w:p w:rsidR="0058702E" w:rsidRPr="00B4422D" w:rsidRDefault="0058702E" w:rsidP="0058702E">
      <w:pPr>
        <w:pStyle w:val="af0"/>
        <w:spacing w:line="360" w:lineRule="auto"/>
        <w:ind w:left="567"/>
        <w:jc w:val="both"/>
        <w:rPr>
          <w:rFonts w:ascii="David" w:eastAsia="Times New Roman" w:hAnsi="David" w:cs="David"/>
          <w:color w:val="000000"/>
          <w:sz w:val="16"/>
          <w:szCs w:val="16"/>
        </w:rPr>
      </w:pPr>
    </w:p>
    <w:p w:rsidR="0058702E" w:rsidRDefault="0058702E" w:rsidP="00206608">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hAnsi="David" w:cs="David"/>
          <w:sz w:val="24"/>
          <w:szCs w:val="24"/>
          <w:rtl/>
        </w:rPr>
        <w:t>טענת התובעת היא שחתימתה על תצהיר ההסתלקות נעשתה בכפיה ומתוך הטעיה. התובעת הגישה את בקש</w:t>
      </w:r>
      <w:r w:rsidR="00206608">
        <w:rPr>
          <w:rFonts w:ascii="David" w:hAnsi="David" w:cs="David" w:hint="cs"/>
          <w:sz w:val="24"/>
          <w:szCs w:val="24"/>
          <w:rtl/>
        </w:rPr>
        <w:t>תה כ</w:t>
      </w:r>
      <w:r>
        <w:rPr>
          <w:rFonts w:ascii="David" w:hAnsi="David" w:cs="David"/>
          <w:sz w:val="24"/>
          <w:szCs w:val="24"/>
          <w:rtl/>
        </w:rPr>
        <w:t xml:space="preserve"> 16 שנים לאחר מתן הצו ולפיכך השאלה הראשונה העומדת להכרעה היא, מידת סבירותו של ההסבר לאיחור בהגשת התובענה. עיקר טענת התובעת לשיהוי בהגשת התובענה הוא מצבה הנפשי הרעוע </w:t>
      </w:r>
      <w:r>
        <w:rPr>
          <w:rFonts w:ascii="David" w:eastAsia="Times New Roman" w:hAnsi="David" w:cs="David"/>
          <w:color w:val="000000"/>
          <w:sz w:val="24"/>
          <w:szCs w:val="24"/>
          <w:rtl/>
        </w:rPr>
        <w:t>שהוא תולדה של התנהגותו הפסולה של הנתבע</w:t>
      </w:r>
      <w:r>
        <w:rPr>
          <w:rFonts w:ascii="David" w:hAnsi="David" w:cs="David"/>
          <w:sz w:val="24"/>
          <w:szCs w:val="24"/>
          <w:rtl/>
        </w:rPr>
        <w:t xml:space="preserve">. </w:t>
      </w:r>
      <w:r w:rsidR="00206608">
        <w:rPr>
          <w:rFonts w:ascii="David" w:hAnsi="David" w:cs="David" w:hint="cs"/>
          <w:sz w:val="24"/>
          <w:szCs w:val="24"/>
          <w:rtl/>
        </w:rPr>
        <w:t xml:space="preserve">לטענתה, </w:t>
      </w:r>
      <w:r>
        <w:rPr>
          <w:rFonts w:ascii="David" w:hAnsi="David" w:cs="David"/>
          <w:sz w:val="24"/>
          <w:szCs w:val="24"/>
          <w:rtl/>
        </w:rPr>
        <w:t xml:space="preserve">במהלך כל השנים לא מצאה בתוכה את כוחות הנפש להגיש התובענה ולמצות את זכויותיה מול הנתבע עקב </w:t>
      </w:r>
      <w:r>
        <w:rPr>
          <w:rFonts w:ascii="David" w:eastAsia="Times New Roman" w:hAnsi="David" w:cs="David"/>
          <w:color w:val="000000"/>
          <w:sz w:val="24"/>
          <w:szCs w:val="24"/>
          <w:rtl/>
        </w:rPr>
        <w:t>מצבה הנפשי הרעוע.</w:t>
      </w:r>
    </w:p>
    <w:p w:rsidR="0058702E" w:rsidRPr="00B4422D" w:rsidRDefault="0058702E" w:rsidP="0058702E">
      <w:pPr>
        <w:pStyle w:val="af0"/>
        <w:rPr>
          <w:rFonts w:ascii="David" w:eastAsia="Times New Roman" w:hAnsi="David" w:cs="David"/>
          <w:color w:val="000000"/>
          <w:sz w:val="16"/>
          <w:szCs w:val="16"/>
        </w:rPr>
      </w:pPr>
    </w:p>
    <w:p w:rsidR="00206608" w:rsidRDefault="00206608" w:rsidP="00206608">
      <w:pPr>
        <w:pStyle w:val="af0"/>
        <w:numPr>
          <w:ilvl w:val="0"/>
          <w:numId w:val="1"/>
        </w:numPr>
        <w:spacing w:line="360" w:lineRule="auto"/>
        <w:ind w:left="567" w:hanging="567"/>
        <w:jc w:val="both"/>
        <w:rPr>
          <w:rFonts w:ascii="David" w:eastAsia="Times New Roman" w:hAnsi="David" w:cs="David"/>
          <w:b/>
          <w:bCs/>
          <w:color w:val="000000"/>
          <w:sz w:val="24"/>
          <w:szCs w:val="24"/>
        </w:rPr>
      </w:pPr>
      <w:r w:rsidRPr="007C27D5">
        <w:rPr>
          <w:rFonts w:ascii="David" w:eastAsia="Times New Roman" w:hAnsi="David" w:cs="David" w:hint="cs"/>
          <w:b/>
          <w:bCs/>
          <w:color w:val="000000"/>
          <w:sz w:val="24"/>
          <w:szCs w:val="24"/>
          <w:rtl/>
        </w:rPr>
        <w:t>אקדים את המאוחר ואומר כבר עתה כי מצאתי טענתה זו של התובעת כחסרת שחר וכהוכחה לקלות הבלתי נסבלת שבה מתיר לעצמו בעל דין לגרור את יריבו (אביה במקרה זה), להליך חסר כל תוחלת, תוך העלאת טענות מופרכות מיסודן שלא רק שלא נמצא להן ראיות טובות או ראיות בכלל, אלא שעצם הטענה עצמה בנסיבות המקרה, עומדת בסתירה גמורה ומוחלטת לניסיון החיים ולשכ</w:t>
      </w:r>
      <w:r w:rsidR="007C27D5" w:rsidRPr="007C27D5">
        <w:rPr>
          <w:rFonts w:ascii="David" w:eastAsia="Times New Roman" w:hAnsi="David" w:cs="David" w:hint="cs"/>
          <w:b/>
          <w:bCs/>
          <w:color w:val="000000"/>
          <w:sz w:val="24"/>
          <w:szCs w:val="24"/>
          <w:rtl/>
        </w:rPr>
        <w:t>ל הישר.</w:t>
      </w:r>
      <w:r w:rsidRPr="007C27D5">
        <w:rPr>
          <w:rFonts w:ascii="David" w:eastAsia="Times New Roman" w:hAnsi="David" w:cs="David" w:hint="cs"/>
          <w:b/>
          <w:bCs/>
          <w:color w:val="000000"/>
          <w:sz w:val="24"/>
          <w:szCs w:val="24"/>
          <w:rtl/>
        </w:rPr>
        <w:t xml:space="preserve">  </w:t>
      </w:r>
    </w:p>
    <w:p w:rsidR="00DF3A21" w:rsidRPr="00DF3A21" w:rsidRDefault="00DF3A21" w:rsidP="00DF3A21">
      <w:pPr>
        <w:pStyle w:val="af0"/>
        <w:spacing w:line="360" w:lineRule="auto"/>
        <w:ind w:left="567"/>
        <w:jc w:val="both"/>
        <w:rPr>
          <w:rFonts w:ascii="David" w:eastAsia="Times New Roman" w:hAnsi="David" w:cs="David"/>
          <w:b/>
          <w:bCs/>
          <w:color w:val="000000"/>
          <w:sz w:val="16"/>
          <w:szCs w:val="16"/>
        </w:rPr>
      </w:pPr>
    </w:p>
    <w:p w:rsidR="0058702E" w:rsidRDefault="0058702E" w:rsidP="005542CA">
      <w:pPr>
        <w:pStyle w:val="af0"/>
        <w:numPr>
          <w:ilvl w:val="0"/>
          <w:numId w:val="1"/>
        </w:numPr>
        <w:spacing w:line="360" w:lineRule="auto"/>
        <w:ind w:left="567" w:hanging="567"/>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הראיות בתיק מלמדות כי במשך השנים עלה בידי התובעת להתמודד </w:t>
      </w:r>
      <w:r w:rsidR="00B4422D">
        <w:rPr>
          <w:rFonts w:ascii="David" w:eastAsia="Times New Roman" w:hAnsi="David" w:cs="David" w:hint="cs"/>
          <w:color w:val="000000"/>
          <w:sz w:val="24"/>
          <w:szCs w:val="24"/>
          <w:rtl/>
        </w:rPr>
        <w:t>בהצלחה</w:t>
      </w:r>
      <w:r w:rsidR="00FC4EF4">
        <w:rPr>
          <w:rFonts w:ascii="David" w:eastAsia="Times New Roman" w:hAnsi="David" w:cs="David" w:hint="cs"/>
          <w:color w:val="000000"/>
          <w:sz w:val="24"/>
          <w:szCs w:val="24"/>
          <w:rtl/>
        </w:rPr>
        <w:t>, ואפי</w:t>
      </w:r>
      <w:r w:rsidR="005542CA">
        <w:rPr>
          <w:rFonts w:ascii="David" w:eastAsia="Times New Roman" w:hAnsi="David" w:cs="David" w:hint="cs"/>
          <w:color w:val="000000"/>
          <w:sz w:val="24"/>
          <w:szCs w:val="24"/>
          <w:rtl/>
        </w:rPr>
        <w:t>לו הצלחה יתירה,</w:t>
      </w:r>
      <w:r w:rsidR="00B4422D">
        <w:rPr>
          <w:rFonts w:ascii="David" w:eastAsia="Times New Roman" w:hAnsi="David" w:cs="David" w:hint="cs"/>
          <w:color w:val="000000"/>
          <w:sz w:val="24"/>
          <w:szCs w:val="24"/>
          <w:rtl/>
        </w:rPr>
        <w:t xml:space="preserve"> </w:t>
      </w:r>
      <w:r>
        <w:rPr>
          <w:rFonts w:ascii="David" w:eastAsia="Times New Roman" w:hAnsi="David" w:cs="David"/>
          <w:color w:val="000000"/>
          <w:sz w:val="24"/>
          <w:szCs w:val="24"/>
          <w:rtl/>
        </w:rPr>
        <w:t>עם אירועי חיים מהותיים</w:t>
      </w:r>
      <w:r w:rsidR="005542CA">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כגון</w:t>
      </w:r>
      <w:r w:rsidR="005542CA">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לימודים גבוהים לתואר ראשון ושני, נישואים והבאת ילדים לעולם, מגורים מעבר לים ופיתוח קריירה בהוראה. התובעת תפקדה באופן מלא בכל תחומי החיים וכן באירועים הדורשים מידה רבה של תכנון, אחריות, מחשבה יוזמה ומשאבים רגשיים ונפשיים ויכולת קבלת החלטות. בנסיבות אלו, אין זה סביר בעיני כי התובעת מצאה את כוחות הנפש ללמוד לימודים אקדמאים, לפתח קריירה, להינשא ולהביא שני ילדים לעולם אולם לא מצאה כוחות להגיש תובענה זו במשך 16 שנים. </w:t>
      </w:r>
    </w:p>
    <w:p w:rsidR="0058702E" w:rsidRPr="00B4422D" w:rsidRDefault="0058702E" w:rsidP="0058702E">
      <w:pPr>
        <w:pStyle w:val="af0"/>
        <w:rPr>
          <w:rFonts w:ascii="David" w:eastAsia="Times New Roman" w:hAnsi="David" w:cs="David"/>
          <w:color w:val="000000"/>
          <w:sz w:val="16"/>
          <w:szCs w:val="16"/>
        </w:rPr>
      </w:pPr>
    </w:p>
    <w:p w:rsidR="007C27D5" w:rsidRDefault="0058702E" w:rsidP="005542CA">
      <w:pPr>
        <w:pStyle w:val="af0"/>
        <w:numPr>
          <w:ilvl w:val="0"/>
          <w:numId w:val="1"/>
        </w:numPr>
        <w:spacing w:after="0" w:line="330" w:lineRule="atLeast"/>
        <w:ind w:left="567" w:hanging="567"/>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התובעת לא הביאה כל ראיה </w:t>
      </w:r>
      <w:r w:rsidR="007C27D5">
        <w:rPr>
          <w:rFonts w:ascii="David" w:eastAsia="Times New Roman" w:hAnsi="David" w:cs="David" w:hint="cs"/>
          <w:color w:val="000000"/>
          <w:sz w:val="24"/>
          <w:szCs w:val="24"/>
          <w:rtl/>
        </w:rPr>
        <w:t xml:space="preserve">טובה </w:t>
      </w:r>
      <w:r>
        <w:rPr>
          <w:rFonts w:ascii="David" w:eastAsia="Times New Roman" w:hAnsi="David" w:cs="David"/>
          <w:color w:val="000000"/>
          <w:sz w:val="24"/>
          <w:szCs w:val="24"/>
          <w:rtl/>
        </w:rPr>
        <w:t>לכך כי מבחינה נפשית לא היה באפשרותה להגיש את התובענה קודם לכן</w:t>
      </w:r>
      <w:r w:rsidR="00B4422D">
        <w:rPr>
          <w:rFonts w:ascii="David" w:eastAsia="Times New Roman" w:hAnsi="David" w:cs="David" w:hint="cs"/>
          <w:color w:val="000000"/>
          <w:sz w:val="24"/>
          <w:szCs w:val="24"/>
          <w:rtl/>
        </w:rPr>
        <w:t xml:space="preserve">, חרף כל האמור בחוות הדעת מטעמה </w:t>
      </w:r>
      <w:r w:rsidR="007C27D5">
        <w:rPr>
          <w:rFonts w:ascii="David" w:eastAsia="Times New Roman" w:hAnsi="David" w:cs="David" w:hint="cs"/>
          <w:color w:val="000000"/>
          <w:sz w:val="24"/>
          <w:szCs w:val="24"/>
          <w:rtl/>
        </w:rPr>
        <w:t>וכל זאת אנמק.</w:t>
      </w:r>
    </w:p>
    <w:p w:rsidR="007C27D5" w:rsidRPr="005542CA" w:rsidRDefault="007C27D5" w:rsidP="007C27D5">
      <w:pPr>
        <w:pStyle w:val="af0"/>
        <w:rPr>
          <w:rFonts w:ascii="David" w:eastAsia="Times New Roman" w:hAnsi="David" w:cs="David"/>
          <w:color w:val="000000"/>
          <w:sz w:val="16"/>
          <w:szCs w:val="16"/>
          <w:rtl/>
        </w:rPr>
      </w:pPr>
    </w:p>
    <w:p w:rsidR="004539B8" w:rsidRDefault="004539B8" w:rsidP="00DE5505">
      <w:pPr>
        <w:pStyle w:val="af0"/>
        <w:numPr>
          <w:ilvl w:val="0"/>
          <w:numId w:val="1"/>
        </w:numPr>
        <w:spacing w:after="0" w:line="330" w:lineRule="atLeast"/>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ראשית, </w:t>
      </w:r>
      <w:r w:rsidRPr="004539B8">
        <w:rPr>
          <w:rFonts w:ascii="David" w:eastAsia="Times New Roman" w:hAnsi="David" w:cs="David" w:hint="cs"/>
          <w:i/>
          <w:iCs/>
          <w:color w:val="000000"/>
          <w:sz w:val="24"/>
          <w:szCs w:val="24"/>
          <w:rtl/>
        </w:rPr>
        <w:t>וטרם</w:t>
      </w:r>
      <w:r>
        <w:rPr>
          <w:rFonts w:ascii="David" w:eastAsia="Times New Roman" w:hAnsi="David" w:cs="David" w:hint="cs"/>
          <w:color w:val="000000"/>
          <w:sz w:val="24"/>
          <w:szCs w:val="24"/>
          <w:rtl/>
        </w:rPr>
        <w:t xml:space="preserve"> שאגש לניתוח חוות הדעת ועדותה של המומחית, לא אוכל להתעלם </w:t>
      </w:r>
      <w:r w:rsidR="00DE5505">
        <w:rPr>
          <w:rFonts w:ascii="David" w:eastAsia="Times New Roman" w:hAnsi="David" w:cs="David" w:hint="cs"/>
          <w:color w:val="000000"/>
          <w:sz w:val="24"/>
          <w:szCs w:val="24"/>
          <w:rtl/>
        </w:rPr>
        <w:t xml:space="preserve">משני </w:t>
      </w:r>
      <w:r>
        <w:rPr>
          <w:rFonts w:ascii="David" w:eastAsia="Times New Roman" w:hAnsi="David" w:cs="David" w:hint="cs"/>
          <w:color w:val="000000"/>
          <w:sz w:val="24"/>
          <w:szCs w:val="24"/>
          <w:rtl/>
        </w:rPr>
        <w:t>כשלים מהותיים בחוות הדעת, כשלים שמעמידים מעל חוות הדעת כולה סימן שאלה גדול ולפרקים בסמוך לו גם סימן קריאה</w:t>
      </w:r>
      <w:r w:rsidR="00AB0186">
        <w:rPr>
          <w:rFonts w:ascii="David" w:eastAsia="Times New Roman" w:hAnsi="David" w:cs="David" w:hint="cs"/>
          <w:color w:val="000000"/>
          <w:sz w:val="24"/>
          <w:szCs w:val="24"/>
          <w:rtl/>
        </w:rPr>
        <w:t>, כפי שיובא להלן</w:t>
      </w:r>
      <w:r>
        <w:rPr>
          <w:rFonts w:ascii="David" w:eastAsia="Times New Roman" w:hAnsi="David" w:cs="David" w:hint="cs"/>
          <w:color w:val="000000"/>
          <w:sz w:val="24"/>
          <w:szCs w:val="24"/>
          <w:rtl/>
        </w:rPr>
        <w:t>.</w:t>
      </w:r>
    </w:p>
    <w:p w:rsidR="004539B8" w:rsidRPr="00B4422D" w:rsidRDefault="004539B8" w:rsidP="004539B8">
      <w:pPr>
        <w:pStyle w:val="af0"/>
        <w:rPr>
          <w:rFonts w:ascii="David" w:eastAsia="Times New Roman" w:hAnsi="David" w:cs="David"/>
          <w:color w:val="000000"/>
          <w:sz w:val="16"/>
          <w:szCs w:val="16"/>
          <w:rtl/>
        </w:rPr>
      </w:pPr>
    </w:p>
    <w:p w:rsidR="00A67EB6" w:rsidRDefault="00380E27" w:rsidP="00F004DF">
      <w:pPr>
        <w:pStyle w:val="af0"/>
        <w:numPr>
          <w:ilvl w:val="0"/>
          <w:numId w:val="5"/>
        </w:numPr>
        <w:spacing w:after="0" w:line="330" w:lineRule="atLeast"/>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ראשית, בפתח חוות דעתה, מציינת ד"ר משגב כי עמדו לנגד עינה ארבעה מסמכים: תוצאות מבחן </w:t>
      </w:r>
      <w:r w:rsidRPr="00A67EB6">
        <w:rPr>
          <w:rFonts w:ascii="David" w:eastAsia="Times New Roman" w:hAnsi="David" w:cs="David" w:hint="cs"/>
          <w:color w:val="000000"/>
          <w:sz w:val="20"/>
          <w:szCs w:val="20"/>
        </w:rPr>
        <w:t>T</w:t>
      </w:r>
      <w:r w:rsidRPr="00A67EB6">
        <w:rPr>
          <w:rFonts w:ascii="David" w:eastAsia="Times New Roman" w:hAnsi="David" w:cs="David"/>
          <w:color w:val="000000"/>
          <w:sz w:val="20"/>
          <w:szCs w:val="20"/>
        </w:rPr>
        <w:t>.</w:t>
      </w:r>
      <w:r w:rsidRPr="00A67EB6">
        <w:rPr>
          <w:rFonts w:ascii="David" w:eastAsia="Times New Roman" w:hAnsi="David" w:cs="David" w:hint="cs"/>
          <w:color w:val="000000"/>
          <w:sz w:val="20"/>
          <w:szCs w:val="20"/>
        </w:rPr>
        <w:t>O</w:t>
      </w:r>
      <w:r w:rsidRPr="00A67EB6">
        <w:rPr>
          <w:rFonts w:ascii="David" w:eastAsia="Times New Roman" w:hAnsi="David" w:cs="David"/>
          <w:color w:val="000000"/>
          <w:sz w:val="20"/>
          <w:szCs w:val="20"/>
        </w:rPr>
        <w:t>.</w:t>
      </w:r>
      <w:r w:rsidRPr="00A67EB6">
        <w:rPr>
          <w:rFonts w:ascii="David" w:eastAsia="Times New Roman" w:hAnsi="David" w:cs="David" w:hint="cs"/>
          <w:color w:val="000000"/>
          <w:sz w:val="20"/>
          <w:szCs w:val="20"/>
        </w:rPr>
        <w:t>V</w:t>
      </w:r>
      <w:r w:rsidRPr="00A67EB6">
        <w:rPr>
          <w:rFonts w:ascii="David" w:eastAsia="Times New Roman" w:hAnsi="David" w:cs="David"/>
          <w:color w:val="000000"/>
          <w:sz w:val="20"/>
          <w:szCs w:val="20"/>
        </w:rPr>
        <w:t>.</w:t>
      </w:r>
      <w:r w:rsidRPr="00A67EB6">
        <w:rPr>
          <w:rFonts w:ascii="David" w:eastAsia="Times New Roman" w:hAnsi="David" w:cs="David" w:hint="cs"/>
          <w:color w:val="000000"/>
          <w:sz w:val="20"/>
          <w:szCs w:val="20"/>
        </w:rPr>
        <w:t>A</w:t>
      </w:r>
      <w:r>
        <w:rPr>
          <w:rFonts w:ascii="David" w:eastAsia="Times New Roman" w:hAnsi="David" w:cs="David" w:hint="cs"/>
          <w:color w:val="000000"/>
          <w:sz w:val="24"/>
          <w:szCs w:val="24"/>
          <w:rtl/>
        </w:rPr>
        <w:t xml:space="preserve"> מיום 30.11.2017; חוות דעת פסיכולוג קליני (ד"ר דניאל זק) מיום 10.3.2021; חוות דעת פסיכולוג קליני (ד"ר </w:t>
      </w:r>
      <w:r w:rsidR="005B152C">
        <w:rPr>
          <w:rFonts w:ascii="David" w:eastAsia="Times New Roman" w:hAnsi="David" w:cs="David" w:hint="cs"/>
          <w:color w:val="000000"/>
          <w:sz w:val="24"/>
          <w:szCs w:val="24"/>
          <w:rtl/>
        </w:rPr>
        <w:t>גבריאל דהאן</w:t>
      </w:r>
      <w:r>
        <w:rPr>
          <w:rFonts w:ascii="David" w:eastAsia="Times New Roman" w:hAnsi="David" w:cs="David" w:hint="cs"/>
          <w:color w:val="000000"/>
          <w:sz w:val="24"/>
          <w:szCs w:val="24"/>
          <w:rtl/>
        </w:rPr>
        <w:t>) מיום 1</w:t>
      </w:r>
      <w:r w:rsidR="005B152C">
        <w:rPr>
          <w:rFonts w:ascii="David" w:eastAsia="Times New Roman" w:hAnsi="David" w:cs="David" w:hint="cs"/>
          <w:color w:val="000000"/>
          <w:sz w:val="24"/>
          <w:szCs w:val="24"/>
          <w:rtl/>
        </w:rPr>
        <w:t>3</w:t>
      </w:r>
      <w:r>
        <w:rPr>
          <w:rFonts w:ascii="David" w:eastAsia="Times New Roman" w:hAnsi="David" w:cs="David" w:hint="cs"/>
          <w:color w:val="000000"/>
          <w:sz w:val="24"/>
          <w:szCs w:val="24"/>
          <w:rtl/>
        </w:rPr>
        <w:t>.3.2021</w:t>
      </w:r>
      <w:r w:rsidR="005B152C">
        <w:rPr>
          <w:rFonts w:ascii="David" w:eastAsia="Times New Roman" w:hAnsi="David" w:cs="David" w:hint="cs"/>
          <w:color w:val="000000"/>
          <w:sz w:val="24"/>
          <w:szCs w:val="24"/>
          <w:rtl/>
        </w:rPr>
        <w:t xml:space="preserve">; מרשם לריטלין מיום 28.2.2022. אמור מעתה, החומרים שעמדו לעיניה של המומחית הם מסוף שנת 2017 ואילך ולא קודם לכן, זאת כאשר המומחית התבקשה (לכאורה) לחוות דעתה באשר למצבה של התובעת ולאי יכולתה לנקוט בהליכים משפטיים החל מחודש מאי 2005! כלומר, בין שלא היה בידי התובעת </w:t>
      </w:r>
      <w:r w:rsidR="00AB0186">
        <w:rPr>
          <w:rFonts w:ascii="David" w:eastAsia="Times New Roman" w:hAnsi="David" w:cs="David" w:hint="cs"/>
          <w:color w:val="000000"/>
          <w:sz w:val="24"/>
          <w:szCs w:val="24"/>
          <w:rtl/>
        </w:rPr>
        <w:t xml:space="preserve">למסור למומחית מטעמה </w:t>
      </w:r>
      <w:r w:rsidR="005B152C">
        <w:rPr>
          <w:rFonts w:ascii="David" w:eastAsia="Times New Roman" w:hAnsi="David" w:cs="David" w:hint="cs"/>
          <w:color w:val="000000"/>
          <w:sz w:val="24"/>
          <w:szCs w:val="24"/>
          <w:rtl/>
        </w:rPr>
        <w:t xml:space="preserve">כל מסמך רלוונטי ובין שהיה בידיה מסמך שסותר את הנרטיב של התביעה, על עובדה משמעותית אין ולא ניתן לחלוק כי </w:t>
      </w:r>
      <w:r w:rsidR="00A67EB6">
        <w:rPr>
          <w:rFonts w:ascii="David" w:eastAsia="Times New Roman" w:hAnsi="David" w:cs="David" w:hint="cs"/>
          <w:color w:val="000000"/>
          <w:sz w:val="24"/>
          <w:szCs w:val="24"/>
          <w:rtl/>
        </w:rPr>
        <w:t>במשך כ 12 שנים וחצי ממועד החתימה על תצהיר הוויתור אין כל עדות בכתב למצבה של התובעת</w:t>
      </w:r>
      <w:r w:rsidR="002B2B6D">
        <w:rPr>
          <w:rFonts w:ascii="David" w:eastAsia="Times New Roman" w:hAnsi="David" w:cs="David" w:hint="cs"/>
          <w:color w:val="000000"/>
          <w:sz w:val="24"/>
          <w:szCs w:val="24"/>
          <w:rtl/>
        </w:rPr>
        <w:t xml:space="preserve"> (ר' גם עדות המומחית לפיה ביקשה מהתובעת למסור לה את כל החומר הרפואי שיש לה, </w:t>
      </w:r>
      <w:r w:rsidR="002B2B6D" w:rsidRPr="00F004DF">
        <w:rPr>
          <w:rFonts w:ascii="David" w:eastAsia="Times New Roman" w:hAnsi="David" w:cs="David" w:hint="cs"/>
          <w:sz w:val="24"/>
          <w:szCs w:val="24"/>
          <w:rtl/>
        </w:rPr>
        <w:t xml:space="preserve">עמ' </w:t>
      </w:r>
      <w:r w:rsidR="00F004DF" w:rsidRPr="00F004DF">
        <w:rPr>
          <w:rFonts w:ascii="David" w:eastAsia="Times New Roman" w:hAnsi="David" w:cs="David" w:hint="cs"/>
          <w:sz w:val="24"/>
          <w:szCs w:val="24"/>
          <w:rtl/>
        </w:rPr>
        <w:t>58</w:t>
      </w:r>
      <w:r w:rsidR="00B4422D" w:rsidRPr="00F004DF">
        <w:rPr>
          <w:rFonts w:ascii="David" w:eastAsia="Times New Roman" w:hAnsi="David" w:cs="David" w:hint="cs"/>
          <w:sz w:val="24"/>
          <w:szCs w:val="24"/>
          <w:rtl/>
        </w:rPr>
        <w:t>,</w:t>
      </w:r>
      <w:r w:rsidR="002B2B6D" w:rsidRPr="00F004DF">
        <w:rPr>
          <w:rFonts w:ascii="David" w:eastAsia="Times New Roman" w:hAnsi="David" w:cs="David" w:hint="cs"/>
          <w:sz w:val="24"/>
          <w:szCs w:val="24"/>
          <w:rtl/>
        </w:rPr>
        <w:t xml:space="preserve"> ש' </w:t>
      </w:r>
      <w:r w:rsidR="00F004DF" w:rsidRPr="00F004DF">
        <w:rPr>
          <w:rFonts w:ascii="David" w:eastAsia="Times New Roman" w:hAnsi="David" w:cs="David" w:hint="cs"/>
          <w:sz w:val="24"/>
          <w:szCs w:val="24"/>
          <w:rtl/>
        </w:rPr>
        <w:t>15</w:t>
      </w:r>
      <w:r w:rsidR="002B2B6D" w:rsidRPr="00F004DF">
        <w:rPr>
          <w:rFonts w:ascii="David" w:eastAsia="Times New Roman" w:hAnsi="David" w:cs="David" w:hint="cs"/>
          <w:sz w:val="24"/>
          <w:szCs w:val="24"/>
          <w:rtl/>
        </w:rPr>
        <w:t xml:space="preserve">). </w:t>
      </w:r>
      <w:r w:rsidR="00AB0186" w:rsidRPr="002B2B6D">
        <w:rPr>
          <w:rFonts w:ascii="David" w:eastAsia="Times New Roman" w:hAnsi="David" w:cs="David" w:hint="cs"/>
          <w:color w:val="000000"/>
          <w:sz w:val="24"/>
          <w:szCs w:val="24"/>
          <w:rtl/>
        </w:rPr>
        <w:t>המסקנה היא לפרק הזמן החשוב ביותר לתובענה (ממועד החתימה על תצהיר ההסתלקות ו</w:t>
      </w:r>
      <w:r w:rsidR="00B4422D">
        <w:rPr>
          <w:rFonts w:ascii="David" w:eastAsia="Times New Roman" w:hAnsi="David" w:cs="David" w:hint="cs"/>
          <w:color w:val="000000"/>
          <w:sz w:val="24"/>
          <w:szCs w:val="24"/>
          <w:rtl/>
        </w:rPr>
        <w:t>ל</w:t>
      </w:r>
      <w:r w:rsidR="00AB0186" w:rsidRPr="002B2B6D">
        <w:rPr>
          <w:rFonts w:ascii="David" w:eastAsia="Times New Roman" w:hAnsi="David" w:cs="David" w:hint="cs"/>
          <w:color w:val="000000"/>
          <w:sz w:val="24"/>
          <w:szCs w:val="24"/>
          <w:rtl/>
        </w:rPr>
        <w:t>מצער, 12 שנים וחצי לאחר מכן) חוות הדעת כולה נסמכת על עדות שמיעה, קרי: דבריה של התובעת בעצמה.</w:t>
      </w:r>
    </w:p>
    <w:p w:rsidR="00B4422D" w:rsidRPr="00B4422D" w:rsidRDefault="00B4422D" w:rsidP="00B4422D">
      <w:pPr>
        <w:pStyle w:val="af0"/>
        <w:spacing w:after="0" w:line="330" w:lineRule="atLeast"/>
        <w:ind w:left="927"/>
        <w:jc w:val="both"/>
        <w:rPr>
          <w:rFonts w:ascii="David" w:eastAsia="Times New Roman" w:hAnsi="David" w:cs="David"/>
          <w:color w:val="000000"/>
          <w:sz w:val="16"/>
          <w:szCs w:val="16"/>
        </w:rPr>
      </w:pPr>
    </w:p>
    <w:p w:rsidR="005F12C8" w:rsidRDefault="00AB0186" w:rsidP="00B4422D">
      <w:pPr>
        <w:pStyle w:val="af0"/>
        <w:numPr>
          <w:ilvl w:val="0"/>
          <w:numId w:val="5"/>
        </w:numPr>
        <w:spacing w:after="0" w:line="330" w:lineRule="atLeast"/>
        <w:jc w:val="both"/>
        <w:rPr>
          <w:rFonts w:ascii="David" w:eastAsia="Times New Roman" w:hAnsi="David" w:cs="David"/>
          <w:color w:val="000000"/>
          <w:sz w:val="24"/>
          <w:szCs w:val="24"/>
        </w:rPr>
      </w:pPr>
      <w:r w:rsidRPr="00B4422D">
        <w:rPr>
          <w:rFonts w:ascii="David" w:eastAsia="Times New Roman" w:hAnsi="David" w:cs="David" w:hint="cs"/>
          <w:color w:val="000000"/>
          <w:sz w:val="24"/>
          <w:szCs w:val="24"/>
          <w:rtl/>
        </w:rPr>
        <w:t xml:space="preserve">שנית, אין חולק כי חוות הדעת הוכנה והוגשה במהלך ההליך המשפטי, כך שאף לדברי התובעת ואף לדברי המומחית מטעמה, לא יצא למומחית להיחשף באופן בלתי אמצעי לאותם קשיים שהיו לתובעת (לדבריה) ואשר מנעו ממנה את הפנייה לבית המשפט ברבות השנים. </w:t>
      </w:r>
    </w:p>
    <w:p w:rsidR="005F12C8" w:rsidRPr="005F12C8" w:rsidRDefault="005F12C8" w:rsidP="005F12C8">
      <w:pPr>
        <w:pStyle w:val="af0"/>
        <w:rPr>
          <w:rFonts w:ascii="David" w:eastAsia="Times New Roman" w:hAnsi="David" w:cs="David"/>
          <w:color w:val="000000"/>
          <w:sz w:val="24"/>
          <w:szCs w:val="24"/>
          <w:rtl/>
        </w:rPr>
      </w:pPr>
    </w:p>
    <w:p w:rsidR="00AB0186" w:rsidRPr="00B4422D" w:rsidRDefault="00AB0186" w:rsidP="005F12C8">
      <w:pPr>
        <w:pStyle w:val="af0"/>
        <w:spacing w:after="0" w:line="330" w:lineRule="atLeast"/>
        <w:ind w:left="927"/>
        <w:jc w:val="both"/>
        <w:rPr>
          <w:rFonts w:ascii="David" w:eastAsia="Times New Roman" w:hAnsi="David" w:cs="David"/>
          <w:color w:val="000000"/>
          <w:sz w:val="24"/>
          <w:szCs w:val="24"/>
        </w:rPr>
      </w:pPr>
      <w:r w:rsidRPr="00B4422D">
        <w:rPr>
          <w:rFonts w:ascii="David" w:eastAsia="Times New Roman" w:hAnsi="David" w:cs="David" w:hint="cs"/>
          <w:color w:val="000000"/>
          <w:sz w:val="24"/>
          <w:szCs w:val="24"/>
          <w:rtl/>
        </w:rPr>
        <w:t>ממה נפשך? אם וככל שהמומחית פגשה במי שאינה מסוגלת להגיש הליך משפטי, כיצד זה ש</w:t>
      </w:r>
      <w:r w:rsidR="00DE5505" w:rsidRPr="00B4422D">
        <w:rPr>
          <w:rFonts w:ascii="David" w:eastAsia="Times New Roman" w:hAnsi="David" w:cs="David" w:hint="cs"/>
          <w:color w:val="000000"/>
          <w:sz w:val="24"/>
          <w:szCs w:val="24"/>
          <w:rtl/>
        </w:rPr>
        <w:t xml:space="preserve">התובעת בכל זאת עשתה כן </w:t>
      </w:r>
      <w:r w:rsidRPr="00B4422D">
        <w:rPr>
          <w:rFonts w:ascii="David" w:eastAsia="Times New Roman" w:hAnsi="David" w:cs="David" w:hint="cs"/>
          <w:color w:val="000000"/>
          <w:sz w:val="24"/>
          <w:szCs w:val="24"/>
          <w:rtl/>
        </w:rPr>
        <w:t xml:space="preserve">טרם שפגשה בה, ואם היא פגשה במי שמסוגלת להגיש הליך משפטי, על </w:t>
      </w:r>
      <w:r w:rsidR="00DE5505" w:rsidRPr="00B4422D">
        <w:rPr>
          <w:rFonts w:ascii="David" w:eastAsia="Times New Roman" w:hAnsi="David" w:cs="David" w:hint="cs"/>
          <w:color w:val="000000"/>
          <w:sz w:val="24"/>
          <w:szCs w:val="24"/>
          <w:rtl/>
        </w:rPr>
        <w:t>מה ולמה החליטה המומחית כי ברבות השנים לא יכולה הייתה התובעת לעשות כן?</w:t>
      </w:r>
    </w:p>
    <w:p w:rsidR="00DE5505" w:rsidRDefault="00DE5505" w:rsidP="00DE5505">
      <w:pPr>
        <w:pStyle w:val="af0"/>
        <w:rPr>
          <w:rFonts w:ascii="David" w:eastAsia="Times New Roman" w:hAnsi="David" w:cs="David"/>
          <w:color w:val="000000"/>
          <w:sz w:val="16"/>
          <w:szCs w:val="16"/>
          <w:rtl/>
        </w:rPr>
      </w:pPr>
    </w:p>
    <w:p w:rsidR="00BB33A8" w:rsidRPr="00B4422D" w:rsidRDefault="00BB33A8" w:rsidP="00DE5505">
      <w:pPr>
        <w:pStyle w:val="af0"/>
        <w:rPr>
          <w:rFonts w:ascii="David" w:eastAsia="Times New Roman" w:hAnsi="David" w:cs="David"/>
          <w:color w:val="000000"/>
          <w:sz w:val="16"/>
          <w:szCs w:val="16"/>
          <w:rtl/>
        </w:rPr>
      </w:pPr>
    </w:p>
    <w:p w:rsidR="0058702E" w:rsidRDefault="00DE5505" w:rsidP="00C53B0D">
      <w:pPr>
        <w:pStyle w:val="af0"/>
        <w:numPr>
          <w:ilvl w:val="0"/>
          <w:numId w:val="1"/>
        </w:numPr>
        <w:spacing w:after="0" w:line="330" w:lineRule="atLeast"/>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lastRenderedPageBreak/>
        <w:t xml:space="preserve">ולגופה של חוות הדעת; </w:t>
      </w:r>
      <w:r w:rsidR="00C53B0D">
        <w:rPr>
          <w:rFonts w:ascii="David" w:eastAsia="Times New Roman" w:hAnsi="David" w:cs="David" w:hint="cs"/>
          <w:color w:val="000000"/>
          <w:sz w:val="24"/>
          <w:szCs w:val="24"/>
          <w:rtl/>
        </w:rPr>
        <w:t xml:space="preserve">כאמור לעיל, המומחית מתייחסת לקשר הסיבתי </w:t>
      </w:r>
      <w:r w:rsidR="0058702E" w:rsidRPr="00C53B0D">
        <w:rPr>
          <w:rFonts w:ascii="David" w:eastAsia="Times New Roman" w:hAnsi="David" w:cs="David"/>
          <w:color w:val="000000"/>
          <w:sz w:val="24"/>
          <w:szCs w:val="24"/>
          <w:rtl/>
        </w:rPr>
        <w:t xml:space="preserve">בין מצבה של התובעת </w:t>
      </w:r>
      <w:r w:rsidR="00C53B0D">
        <w:rPr>
          <w:rFonts w:ascii="David" w:eastAsia="Times New Roman" w:hAnsi="David" w:cs="David" w:hint="cs"/>
          <w:color w:val="000000"/>
          <w:sz w:val="24"/>
          <w:szCs w:val="24"/>
          <w:rtl/>
        </w:rPr>
        <w:t xml:space="preserve">לבין </w:t>
      </w:r>
      <w:r w:rsidR="0058702E" w:rsidRPr="00C53B0D">
        <w:rPr>
          <w:rFonts w:ascii="David" w:eastAsia="Times New Roman" w:hAnsi="David" w:cs="David"/>
          <w:color w:val="000000"/>
          <w:sz w:val="24"/>
          <w:szCs w:val="24"/>
          <w:rtl/>
        </w:rPr>
        <w:t>השיהוי בהגשת התובענה</w:t>
      </w:r>
      <w:r w:rsidR="00C53B0D">
        <w:rPr>
          <w:rFonts w:ascii="David" w:eastAsia="Times New Roman" w:hAnsi="David" w:cs="David" w:hint="cs"/>
          <w:color w:val="000000"/>
          <w:sz w:val="24"/>
          <w:szCs w:val="24"/>
          <w:rtl/>
        </w:rPr>
        <w:t>, לאמור</w:t>
      </w:r>
      <w:r w:rsidR="0058702E" w:rsidRPr="00C53B0D">
        <w:rPr>
          <w:rFonts w:ascii="David" w:eastAsia="Times New Roman" w:hAnsi="David" w:cs="David"/>
          <w:color w:val="000000"/>
          <w:sz w:val="24"/>
          <w:szCs w:val="24"/>
          <w:rtl/>
        </w:rPr>
        <w:t>: "</w:t>
      </w:r>
      <w:r w:rsidR="0058702E" w:rsidRPr="00C53B0D">
        <w:rPr>
          <w:rFonts w:ascii="David" w:eastAsia="Times New Roman" w:hAnsi="David" w:cs="David"/>
          <w:b/>
          <w:bCs/>
          <w:color w:val="000000"/>
          <w:sz w:val="24"/>
          <w:szCs w:val="24"/>
          <w:rtl/>
        </w:rPr>
        <w:t>ההימנעות מחשיפה והתעמתות עם הפוגע או כל הקשור ומזכיר אותו, הוא אחד ממאפייני הליבה המרכזיים של ההפרעה" וכי "ואם ניקח בחשבון את הכתוב לעיל על מאפייני הליבה של ההפרעה, את תיאוריה החוזרים והעקביים של האימה שחשה מהתעמתות מולו, נראה מובן כי שיטת ההימנעות אשר בחרה במקרה הנדון ואשר הייתה לרצותו ע"י חתימה על וויתור על חלקה בירושה, והימנעות מהתמודדות עם אביה, בוודאי הגשת הליך משפטי נגדו, הייתה חלק מסימני הפתולוגיה הקשה אשר נגרמה בעקבות ההתעללות הרגשית ארוכת השנים מצדו. רק שנים לאחר האירועים, טיפולים נפשיים, ריחוק פיזי לשנים ויצירת מערכת תמך משפחתית, הצליחה לאגור כוחות נפשיים לצורך הגשת תביעה זו</w:t>
      </w:r>
      <w:r w:rsidR="0058702E" w:rsidRPr="00C53B0D">
        <w:rPr>
          <w:rFonts w:ascii="David" w:eastAsia="Times New Roman" w:hAnsi="David" w:cs="David"/>
          <w:color w:val="000000"/>
          <w:sz w:val="24"/>
          <w:szCs w:val="24"/>
          <w:rtl/>
        </w:rPr>
        <w:t>".</w:t>
      </w:r>
    </w:p>
    <w:p w:rsidR="00C53B0D" w:rsidRPr="00B4422D" w:rsidRDefault="00C53B0D" w:rsidP="00C53B0D">
      <w:pPr>
        <w:pStyle w:val="af0"/>
        <w:spacing w:after="0" w:line="330" w:lineRule="atLeast"/>
        <w:ind w:left="567"/>
        <w:jc w:val="both"/>
        <w:rPr>
          <w:rFonts w:ascii="David" w:eastAsia="Times New Roman" w:hAnsi="David" w:cs="David"/>
          <w:color w:val="000000"/>
          <w:sz w:val="16"/>
          <w:szCs w:val="16"/>
        </w:rPr>
      </w:pPr>
    </w:p>
    <w:p w:rsidR="00C53B0D" w:rsidRDefault="00C53B0D" w:rsidP="00D80559">
      <w:pPr>
        <w:pStyle w:val="af0"/>
        <w:numPr>
          <w:ilvl w:val="0"/>
          <w:numId w:val="1"/>
        </w:numPr>
        <w:spacing w:after="0" w:line="330" w:lineRule="atLeast"/>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אף מקריאה מדוקדקת של חוות הדעת, </w:t>
      </w:r>
      <w:r w:rsidRPr="00C53B0D">
        <w:rPr>
          <w:rFonts w:ascii="David" w:eastAsia="Times New Roman" w:hAnsi="David" w:cs="David" w:hint="cs"/>
          <w:color w:val="000000"/>
          <w:sz w:val="24"/>
          <w:szCs w:val="24"/>
          <w:rtl/>
        </w:rPr>
        <w:t>המומחית איננה קובעת כי הייתה על התובעת מניעה</w:t>
      </w:r>
      <w:r w:rsidRPr="00C53B0D">
        <w:rPr>
          <w:rFonts w:ascii="David" w:eastAsia="Times New Roman" w:hAnsi="David" w:cs="David" w:hint="cs"/>
          <w:b/>
          <w:bCs/>
          <w:color w:val="000000"/>
          <w:sz w:val="24"/>
          <w:szCs w:val="24"/>
          <w:u w:val="single"/>
          <w:rtl/>
        </w:rPr>
        <w:t xml:space="preserve"> </w:t>
      </w:r>
      <w:r w:rsidRPr="00C53B0D">
        <w:rPr>
          <w:rFonts w:ascii="David" w:eastAsia="Times New Roman" w:hAnsi="David" w:cs="David" w:hint="cs"/>
          <w:b/>
          <w:bCs/>
          <w:color w:val="000000"/>
          <w:sz w:val="24"/>
          <w:szCs w:val="24"/>
          <w:u w:val="double"/>
          <w:rtl/>
        </w:rPr>
        <w:t>שלא אפשרה</w:t>
      </w:r>
      <w:r w:rsidRPr="00C53B0D">
        <w:rPr>
          <w:rFonts w:ascii="David" w:eastAsia="Times New Roman" w:hAnsi="David" w:cs="David" w:hint="cs"/>
          <w:color w:val="000000"/>
          <w:sz w:val="24"/>
          <w:szCs w:val="24"/>
          <w:rtl/>
        </w:rPr>
        <w:t xml:space="preserve"> לה לנקוט בהליכים משפטיים</w:t>
      </w:r>
      <w:r>
        <w:rPr>
          <w:rFonts w:ascii="David" w:eastAsia="Times New Roman" w:hAnsi="David" w:cs="David" w:hint="cs"/>
          <w:color w:val="000000"/>
          <w:sz w:val="24"/>
          <w:szCs w:val="24"/>
          <w:rtl/>
        </w:rPr>
        <w:t xml:space="preserve">, אלא לכל היותר היא מביאה </w:t>
      </w:r>
      <w:r w:rsidRPr="00C53B0D">
        <w:rPr>
          <w:rFonts w:ascii="David" w:eastAsia="Times New Roman" w:hAnsi="David" w:cs="David" w:hint="cs"/>
          <w:i/>
          <w:iCs/>
          <w:color w:val="000000"/>
          <w:sz w:val="24"/>
          <w:szCs w:val="24"/>
          <w:rtl/>
        </w:rPr>
        <w:t>הסבר</w:t>
      </w:r>
      <w:r>
        <w:rPr>
          <w:rFonts w:ascii="David" w:eastAsia="Times New Roman" w:hAnsi="David" w:cs="David" w:hint="cs"/>
          <w:color w:val="000000"/>
          <w:sz w:val="24"/>
          <w:szCs w:val="24"/>
          <w:rtl/>
        </w:rPr>
        <w:t xml:space="preserve"> להימנעותה של התובעת מלנקוט בהליכים משפטיים. </w:t>
      </w:r>
      <w:r w:rsidR="00BB33A8">
        <w:rPr>
          <w:rFonts w:ascii="David" w:eastAsia="Times New Roman" w:hAnsi="David" w:cs="David" w:hint="cs"/>
          <w:color w:val="000000"/>
          <w:sz w:val="24"/>
          <w:szCs w:val="24"/>
          <w:rtl/>
        </w:rPr>
        <w:t xml:space="preserve">ברור כשמש כי לא בנקל </w:t>
      </w:r>
      <w:r w:rsidR="00D80559">
        <w:rPr>
          <w:rFonts w:ascii="David" w:eastAsia="Times New Roman" w:hAnsi="David" w:cs="David" w:hint="cs"/>
          <w:color w:val="000000"/>
          <w:sz w:val="24"/>
          <w:szCs w:val="24"/>
          <w:rtl/>
        </w:rPr>
        <w:t>ת</w:t>
      </w:r>
      <w:r w:rsidR="00BB33A8">
        <w:rPr>
          <w:rFonts w:ascii="David" w:eastAsia="Times New Roman" w:hAnsi="David" w:cs="David" w:hint="cs"/>
          <w:color w:val="000000"/>
          <w:sz w:val="24"/>
          <w:szCs w:val="24"/>
          <w:rtl/>
        </w:rPr>
        <w:t>נקוט ב</w:t>
      </w:r>
      <w:r w:rsidR="00D80559">
        <w:rPr>
          <w:rFonts w:ascii="David" w:eastAsia="Times New Roman" w:hAnsi="David" w:cs="David" w:hint="cs"/>
          <w:color w:val="000000"/>
          <w:sz w:val="24"/>
          <w:szCs w:val="24"/>
          <w:rtl/>
        </w:rPr>
        <w:t>ת</w:t>
      </w:r>
      <w:r w:rsidR="00BB33A8">
        <w:rPr>
          <w:rFonts w:ascii="David" w:eastAsia="Times New Roman" w:hAnsi="David" w:cs="David" w:hint="cs"/>
          <w:color w:val="000000"/>
          <w:sz w:val="24"/>
          <w:szCs w:val="24"/>
          <w:rtl/>
        </w:rPr>
        <w:t xml:space="preserve"> בהליך משפטי כנגד אבי</w:t>
      </w:r>
      <w:r w:rsidR="00D80559">
        <w:rPr>
          <w:rFonts w:ascii="David" w:eastAsia="Times New Roman" w:hAnsi="David" w:cs="David" w:hint="cs"/>
          <w:color w:val="000000"/>
          <w:sz w:val="24"/>
          <w:szCs w:val="24"/>
          <w:rtl/>
        </w:rPr>
        <w:t>ה</w:t>
      </w:r>
      <w:r w:rsidR="00BB33A8">
        <w:rPr>
          <w:rFonts w:ascii="David" w:eastAsia="Times New Roman" w:hAnsi="David" w:cs="David" w:hint="cs"/>
          <w:color w:val="000000"/>
          <w:sz w:val="24"/>
          <w:szCs w:val="24"/>
          <w:rtl/>
        </w:rPr>
        <w:t xml:space="preserve"> או אמ</w:t>
      </w:r>
      <w:r w:rsidR="00D80559">
        <w:rPr>
          <w:rFonts w:ascii="David" w:eastAsia="Times New Roman" w:hAnsi="David" w:cs="David" w:hint="cs"/>
          <w:color w:val="000000"/>
          <w:sz w:val="24"/>
          <w:szCs w:val="24"/>
          <w:rtl/>
        </w:rPr>
        <w:t>ה</w:t>
      </w:r>
      <w:r w:rsidR="00BB33A8">
        <w:rPr>
          <w:rFonts w:ascii="David" w:eastAsia="Times New Roman" w:hAnsi="David" w:cs="David" w:hint="cs"/>
          <w:color w:val="000000"/>
          <w:sz w:val="24"/>
          <w:szCs w:val="24"/>
          <w:rtl/>
        </w:rPr>
        <w:t>, ובכך אין רבותא, ויחד עם זאת, השאלה שיש לשאול ועליה להשיב היא האם מצבה הנפשי של התובעת מנע ממנה לנקוט בהליך משפטי, בדיוק כפי שעשתה בהליך שבפני.</w:t>
      </w:r>
    </w:p>
    <w:p w:rsidR="00590028" w:rsidRPr="00B4422D" w:rsidRDefault="00590028" w:rsidP="00590028">
      <w:pPr>
        <w:pStyle w:val="af0"/>
        <w:rPr>
          <w:rFonts w:ascii="David" w:eastAsia="Times New Roman" w:hAnsi="David" w:cs="David"/>
          <w:color w:val="000000"/>
          <w:sz w:val="16"/>
          <w:szCs w:val="16"/>
          <w:rtl/>
        </w:rPr>
      </w:pPr>
      <w:r>
        <w:rPr>
          <w:rFonts w:ascii="David" w:eastAsia="Times New Roman" w:hAnsi="David" w:cs="David" w:hint="cs"/>
          <w:color w:val="000000"/>
          <w:sz w:val="24"/>
          <w:szCs w:val="24"/>
          <w:rtl/>
        </w:rPr>
        <w:t xml:space="preserve"> </w:t>
      </w:r>
    </w:p>
    <w:p w:rsidR="00590028" w:rsidRDefault="00BB33A8" w:rsidP="00BB33A8">
      <w:pPr>
        <w:pStyle w:val="af0"/>
        <w:numPr>
          <w:ilvl w:val="0"/>
          <w:numId w:val="1"/>
        </w:numPr>
        <w:spacing w:after="0" w:line="330" w:lineRule="atLeast"/>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מיד בפתח חקירתה הנגדית, נשאלה המומחית והשיבה:  </w:t>
      </w:r>
    </w:p>
    <w:p w:rsidR="00590028" w:rsidRPr="00B4422D" w:rsidRDefault="00590028" w:rsidP="00590028">
      <w:pPr>
        <w:pStyle w:val="af0"/>
        <w:rPr>
          <w:rFonts w:ascii="David" w:eastAsia="Times New Roman" w:hAnsi="David" w:cs="David"/>
          <w:color w:val="000000"/>
          <w:sz w:val="16"/>
          <w:szCs w:val="16"/>
          <w:rtl/>
        </w:rPr>
      </w:pPr>
    </w:p>
    <w:p w:rsidR="00590028" w:rsidRPr="00590028" w:rsidRDefault="00590028" w:rsidP="00590028">
      <w:pPr>
        <w:pStyle w:val="af0"/>
        <w:spacing w:after="0" w:line="330" w:lineRule="atLeast"/>
        <w:ind w:left="567"/>
        <w:jc w:val="both"/>
        <w:rPr>
          <w:rFonts w:ascii="David" w:hAnsi="David" w:cs="David"/>
          <w:b/>
          <w:bCs/>
          <w:sz w:val="24"/>
          <w:szCs w:val="24"/>
          <w:rtl/>
        </w:rPr>
      </w:pPr>
      <w:r w:rsidRPr="005F12C8">
        <w:rPr>
          <w:rFonts w:ascii="David" w:eastAsia="Times New Roman" w:hAnsi="David" w:cs="David"/>
          <w:b/>
          <w:bCs/>
          <w:color w:val="000000"/>
          <w:sz w:val="24"/>
          <w:szCs w:val="24"/>
          <w:rtl/>
        </w:rPr>
        <w:t>"ש:</w:t>
      </w:r>
      <w:r w:rsidRPr="00590028">
        <w:rPr>
          <w:rFonts w:ascii="David" w:eastAsia="Times New Roman" w:hAnsi="David" w:cs="David"/>
          <w:color w:val="000000"/>
          <w:sz w:val="24"/>
          <w:szCs w:val="24"/>
          <w:rtl/>
        </w:rPr>
        <w:tab/>
      </w:r>
      <w:r w:rsidRPr="00590028">
        <w:rPr>
          <w:rFonts w:ascii="David" w:hAnsi="David" w:cs="David"/>
          <w:b/>
          <w:bCs/>
          <w:sz w:val="24"/>
          <w:szCs w:val="24"/>
          <w:rtl/>
        </w:rPr>
        <w:t>ד"ר משגב שלום רב. תאמרי לי את יודעת על מה התיק הזה נסוב? על מה?</w:t>
      </w:r>
    </w:p>
    <w:p w:rsidR="00590028" w:rsidRDefault="00590028" w:rsidP="00D80559">
      <w:pPr>
        <w:pStyle w:val="af0"/>
        <w:spacing w:after="0" w:line="330" w:lineRule="atLeast"/>
        <w:ind w:left="1440" w:hanging="873"/>
        <w:jc w:val="both"/>
        <w:rPr>
          <w:rFonts w:ascii="David" w:hAnsi="David" w:cs="David"/>
          <w:sz w:val="24"/>
          <w:szCs w:val="24"/>
          <w:rtl/>
        </w:rPr>
      </w:pPr>
      <w:r w:rsidRPr="00590028">
        <w:rPr>
          <w:rFonts w:ascii="David" w:hAnsi="David" w:cs="David"/>
          <w:b/>
          <w:bCs/>
          <w:sz w:val="24"/>
          <w:szCs w:val="24"/>
          <w:rtl/>
        </w:rPr>
        <w:t>ת:</w:t>
      </w:r>
      <w:r w:rsidRPr="00590028">
        <w:rPr>
          <w:rFonts w:ascii="David" w:hAnsi="David" w:cs="David"/>
          <w:b/>
          <w:bCs/>
          <w:sz w:val="24"/>
          <w:szCs w:val="24"/>
          <w:rtl/>
        </w:rPr>
        <w:tab/>
        <w:t xml:space="preserve"> בגיל 20+ </w:t>
      </w:r>
      <w:r w:rsidR="00D80559">
        <w:rPr>
          <w:rFonts w:ascii="David" w:hAnsi="David" w:cs="David" w:hint="cs"/>
          <w:b/>
          <w:bCs/>
          <w:sz w:val="24"/>
          <w:szCs w:val="24"/>
          <w:rtl/>
        </w:rPr>
        <w:t>[התובעת]</w:t>
      </w:r>
      <w:r w:rsidRPr="00590028">
        <w:rPr>
          <w:rFonts w:ascii="David" w:hAnsi="David" w:cs="David"/>
          <w:b/>
          <w:bCs/>
          <w:sz w:val="24"/>
          <w:szCs w:val="24"/>
          <w:rtl/>
        </w:rPr>
        <w:t xml:space="preserve"> חתמה על ויתור על החלק שלה בצוואה של הסב, עבר מאז התיישנות והחלק שאני התבקשתי להביע את דעתי בו זה </w:t>
      </w:r>
      <w:r w:rsidRPr="00590028">
        <w:rPr>
          <w:rFonts w:ascii="David" w:hAnsi="David" w:cs="David"/>
          <w:b/>
          <w:bCs/>
          <w:sz w:val="24"/>
          <w:szCs w:val="24"/>
          <w:u w:val="double"/>
          <w:rtl/>
        </w:rPr>
        <w:t xml:space="preserve">מדוע לקח לה כ"כ הרבה זמן </w:t>
      </w:r>
      <w:r w:rsidRPr="00590028">
        <w:rPr>
          <w:rFonts w:ascii="David" w:hAnsi="David" w:cs="David"/>
          <w:b/>
          <w:bCs/>
          <w:sz w:val="24"/>
          <w:szCs w:val="24"/>
          <w:rtl/>
        </w:rPr>
        <w:t>להחליט שהיא רוצה היא רוצה לערער על החתימה</w:t>
      </w:r>
      <w:r>
        <w:rPr>
          <w:rFonts w:ascii="David" w:hAnsi="David" w:cs="David" w:hint="cs"/>
          <w:b/>
          <w:bCs/>
          <w:sz w:val="24"/>
          <w:szCs w:val="24"/>
          <w:rtl/>
        </w:rPr>
        <w:t xml:space="preserve">" </w:t>
      </w:r>
      <w:r w:rsidR="00B53D90" w:rsidRPr="00B53D90">
        <w:rPr>
          <w:rFonts w:ascii="David" w:hAnsi="David" w:cs="David" w:hint="cs"/>
          <w:sz w:val="24"/>
          <w:szCs w:val="24"/>
          <w:rtl/>
        </w:rPr>
        <w:t>(עמ' 58, ש' 1-5</w:t>
      </w:r>
      <w:r w:rsidRPr="00B53D90">
        <w:rPr>
          <w:rFonts w:ascii="David" w:hAnsi="David" w:cs="David" w:hint="cs"/>
          <w:sz w:val="24"/>
          <w:szCs w:val="24"/>
          <w:rtl/>
        </w:rPr>
        <w:t>)</w:t>
      </w:r>
      <w:r w:rsidRPr="00B53D90">
        <w:rPr>
          <w:rFonts w:ascii="David" w:hAnsi="David" w:cs="David"/>
          <w:sz w:val="24"/>
          <w:szCs w:val="24"/>
          <w:rtl/>
        </w:rPr>
        <w:t>.</w:t>
      </w:r>
    </w:p>
    <w:p w:rsidR="00590028" w:rsidRPr="00B4422D" w:rsidRDefault="00590028" w:rsidP="00590028">
      <w:pPr>
        <w:pStyle w:val="af0"/>
        <w:spacing w:after="0" w:line="330" w:lineRule="atLeast"/>
        <w:ind w:left="1440" w:hanging="873"/>
        <w:jc w:val="both"/>
        <w:rPr>
          <w:b/>
          <w:bCs/>
          <w:sz w:val="16"/>
          <w:szCs w:val="16"/>
          <w:rtl/>
        </w:rPr>
      </w:pPr>
    </w:p>
    <w:p w:rsidR="00590028" w:rsidRDefault="00590028" w:rsidP="002D52DE">
      <w:pPr>
        <w:pStyle w:val="af0"/>
        <w:numPr>
          <w:ilvl w:val="0"/>
          <w:numId w:val="1"/>
        </w:numPr>
        <w:spacing w:after="0" w:line="330" w:lineRule="atLeast"/>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מיותר (או שלא) לציין כי חוות דעת שנועדה לשם חיווי דעה באשר ל</w:t>
      </w:r>
      <w:r w:rsidR="00B4422D">
        <w:rPr>
          <w:rFonts w:ascii="David" w:eastAsia="Times New Roman" w:hAnsi="David" w:cs="David" w:hint="cs"/>
          <w:color w:val="000000"/>
          <w:sz w:val="24"/>
          <w:szCs w:val="24"/>
          <w:rtl/>
        </w:rPr>
        <w:t xml:space="preserve">שיקוליה </w:t>
      </w:r>
      <w:r>
        <w:rPr>
          <w:rFonts w:ascii="David" w:eastAsia="Times New Roman" w:hAnsi="David" w:cs="David" w:hint="cs"/>
          <w:color w:val="000000"/>
          <w:sz w:val="24"/>
          <w:szCs w:val="24"/>
          <w:rtl/>
        </w:rPr>
        <w:t xml:space="preserve">של התובעת </w:t>
      </w:r>
      <w:r w:rsidR="00B4422D">
        <w:rPr>
          <w:rFonts w:ascii="David" w:eastAsia="Times New Roman" w:hAnsi="David" w:cs="David" w:hint="cs"/>
          <w:color w:val="000000"/>
          <w:sz w:val="24"/>
          <w:szCs w:val="24"/>
          <w:rtl/>
        </w:rPr>
        <w:t xml:space="preserve">שלא לפנות </w:t>
      </w:r>
      <w:r>
        <w:rPr>
          <w:rFonts w:ascii="David" w:eastAsia="Times New Roman" w:hAnsi="David" w:cs="David" w:hint="cs"/>
          <w:color w:val="000000"/>
          <w:sz w:val="24"/>
          <w:szCs w:val="24"/>
          <w:rtl/>
        </w:rPr>
        <w:t xml:space="preserve">לבית המשפט במשך 16 שנים איננה ממן העניין ואין בה לתמוך במאומה בהליך שיזמה התובעת. על התובעת היה להוכיח </w:t>
      </w:r>
      <w:r w:rsidR="002B2B6D">
        <w:rPr>
          <w:rFonts w:ascii="David" w:eastAsia="Times New Roman" w:hAnsi="David" w:cs="David" w:hint="cs"/>
          <w:color w:val="000000"/>
          <w:sz w:val="24"/>
          <w:szCs w:val="24"/>
          <w:rtl/>
        </w:rPr>
        <w:t xml:space="preserve">בראיות טובות וחזקות </w:t>
      </w:r>
      <w:r>
        <w:rPr>
          <w:rFonts w:ascii="David" w:eastAsia="Times New Roman" w:hAnsi="David" w:cs="David" w:hint="cs"/>
          <w:color w:val="000000"/>
          <w:sz w:val="24"/>
          <w:szCs w:val="24"/>
          <w:rtl/>
        </w:rPr>
        <w:t>כי הייתה עליה</w:t>
      </w:r>
      <w:r w:rsidR="002B2B6D">
        <w:rPr>
          <w:rFonts w:ascii="David" w:eastAsia="Times New Roman" w:hAnsi="David" w:cs="David" w:hint="cs"/>
          <w:color w:val="000000"/>
          <w:sz w:val="24"/>
          <w:szCs w:val="24"/>
          <w:rtl/>
        </w:rPr>
        <w:t xml:space="preserve"> מניעות רפואית ו/או אחרת ש</w:t>
      </w:r>
      <w:r w:rsidR="002D52DE">
        <w:rPr>
          <w:rFonts w:ascii="David" w:eastAsia="Times New Roman" w:hAnsi="David" w:cs="David" w:hint="cs"/>
          <w:color w:val="000000"/>
          <w:sz w:val="24"/>
          <w:szCs w:val="24"/>
          <w:rtl/>
        </w:rPr>
        <w:t xml:space="preserve">לא אפשרה לה </w:t>
      </w:r>
      <w:r w:rsidR="002B2B6D">
        <w:rPr>
          <w:rFonts w:ascii="David" w:eastAsia="Times New Roman" w:hAnsi="David" w:cs="David" w:hint="cs"/>
          <w:color w:val="000000"/>
          <w:sz w:val="24"/>
          <w:szCs w:val="24"/>
          <w:rtl/>
        </w:rPr>
        <w:t>להגיש הליך משפטי, וכל זאת אין בחוות הדעת שהוגשה מטעמה.</w:t>
      </w:r>
    </w:p>
    <w:p w:rsidR="002B2B6D" w:rsidRPr="002D52DE" w:rsidRDefault="002B2B6D" w:rsidP="000D4BB1">
      <w:pPr>
        <w:pStyle w:val="af0"/>
        <w:spacing w:after="0" w:line="330" w:lineRule="atLeast"/>
        <w:ind w:left="567"/>
        <w:jc w:val="both"/>
        <w:rPr>
          <w:rFonts w:ascii="David" w:eastAsia="Times New Roman" w:hAnsi="David" w:cs="David"/>
          <w:color w:val="000000"/>
          <w:sz w:val="16"/>
          <w:szCs w:val="16"/>
        </w:rPr>
      </w:pPr>
    </w:p>
    <w:p w:rsidR="000D4BB1" w:rsidRDefault="000D4BB1" w:rsidP="00590028">
      <w:pPr>
        <w:pStyle w:val="af0"/>
        <w:numPr>
          <w:ilvl w:val="0"/>
          <w:numId w:val="1"/>
        </w:numPr>
        <w:spacing w:after="0" w:line="330" w:lineRule="atLeast"/>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בהמשך, נשאלה המומחית מטעם התובעת והשיבה: </w:t>
      </w:r>
    </w:p>
    <w:p w:rsidR="000D4BB1" w:rsidRPr="002D52DE" w:rsidRDefault="000D4BB1" w:rsidP="000D4BB1">
      <w:pPr>
        <w:pStyle w:val="af0"/>
        <w:spacing w:after="0" w:line="330" w:lineRule="atLeast"/>
        <w:ind w:left="567"/>
        <w:jc w:val="both"/>
        <w:rPr>
          <w:rFonts w:ascii="David" w:eastAsia="Times New Roman" w:hAnsi="David" w:cs="David"/>
          <w:color w:val="000000"/>
          <w:sz w:val="16"/>
          <w:szCs w:val="16"/>
          <w:rtl/>
        </w:rPr>
      </w:pPr>
    </w:p>
    <w:p w:rsidR="000D4BB1" w:rsidRPr="00827EB0" w:rsidRDefault="000D4BB1" w:rsidP="00C110C5">
      <w:pPr>
        <w:pStyle w:val="af0"/>
        <w:spacing w:after="0" w:line="330" w:lineRule="atLeast"/>
        <w:ind w:left="1437" w:hanging="870"/>
        <w:jc w:val="both"/>
        <w:rPr>
          <w:rFonts w:ascii="David" w:hAnsi="David" w:cs="David"/>
          <w:b/>
          <w:bCs/>
          <w:sz w:val="24"/>
          <w:szCs w:val="24"/>
          <w:rtl/>
        </w:rPr>
      </w:pPr>
      <w:r w:rsidRPr="00827EB0">
        <w:rPr>
          <w:rFonts w:ascii="David" w:eastAsia="Times New Roman" w:hAnsi="David" w:cs="David"/>
          <w:b/>
          <w:bCs/>
          <w:color w:val="000000"/>
          <w:sz w:val="24"/>
          <w:szCs w:val="24"/>
          <w:rtl/>
        </w:rPr>
        <w:t>"ש</w:t>
      </w:r>
      <w:r w:rsidR="00C110C5" w:rsidRPr="00827EB0">
        <w:rPr>
          <w:rFonts w:ascii="David" w:eastAsia="Times New Roman" w:hAnsi="David" w:cs="David"/>
          <w:b/>
          <w:bCs/>
          <w:color w:val="000000"/>
          <w:sz w:val="24"/>
          <w:szCs w:val="24"/>
          <w:rtl/>
        </w:rPr>
        <w:t>:</w:t>
      </w:r>
      <w:r w:rsidRPr="00827EB0">
        <w:rPr>
          <w:rFonts w:ascii="David" w:eastAsia="Times New Roman" w:hAnsi="David" w:cs="David"/>
          <w:b/>
          <w:bCs/>
          <w:color w:val="000000"/>
          <w:sz w:val="24"/>
          <w:szCs w:val="24"/>
          <w:rtl/>
        </w:rPr>
        <w:tab/>
      </w:r>
      <w:r w:rsidRPr="00827EB0">
        <w:rPr>
          <w:rFonts w:ascii="David" w:hAnsi="David" w:cs="David"/>
          <w:b/>
          <w:bCs/>
          <w:sz w:val="24"/>
          <w:szCs w:val="24"/>
          <w:rtl/>
        </w:rPr>
        <w:t xml:space="preserve">כלומר אם אני אזקק את מה שאמרת לפי מה שאת מצאת בבדיקה שלך במהלך כל ה-18 שנים אפילו מגיל 20 או 17 שנים מגיל 21, </w:t>
      </w:r>
      <w:r w:rsidRPr="002D52DE">
        <w:rPr>
          <w:rFonts w:ascii="David" w:hAnsi="David" w:cs="David"/>
          <w:b/>
          <w:bCs/>
          <w:sz w:val="24"/>
          <w:szCs w:val="24"/>
          <w:u w:val="double"/>
          <w:rtl/>
        </w:rPr>
        <w:t>אין לך פה ממצא שאת יכולה כפסיכיאטרית לומר שהיא לא הייתה מסוגלת לדאוג לענייניה</w:t>
      </w:r>
      <w:r w:rsidRPr="00827EB0">
        <w:rPr>
          <w:rFonts w:ascii="David" w:hAnsi="David" w:cs="David"/>
          <w:b/>
          <w:bCs/>
          <w:sz w:val="24"/>
          <w:szCs w:val="24"/>
          <w:rtl/>
        </w:rPr>
        <w:t>, יכול להיות שעל הסקלה היא נמצאת ככה או ככה אבל זה לא בן אדם שהיה מאושפז למשל בבית חולים פסיכיאטרי ואז אומרים שהוא לא יכול לדאוג לענייניו, זה לא המקרה כאן נכון?</w:t>
      </w:r>
    </w:p>
    <w:p w:rsidR="000D4BB1" w:rsidRDefault="000D4BB1" w:rsidP="00C110C5">
      <w:pPr>
        <w:pStyle w:val="af0"/>
        <w:spacing w:after="0" w:line="330" w:lineRule="atLeast"/>
        <w:ind w:left="1437" w:hanging="870"/>
        <w:jc w:val="both"/>
        <w:rPr>
          <w:rFonts w:ascii="David" w:eastAsia="Times New Roman" w:hAnsi="David" w:cs="David"/>
          <w:b/>
          <w:bCs/>
          <w:color w:val="000000"/>
          <w:sz w:val="24"/>
          <w:szCs w:val="24"/>
          <w:rtl/>
        </w:rPr>
      </w:pPr>
      <w:r w:rsidRPr="00827EB0">
        <w:rPr>
          <w:rFonts w:ascii="David" w:hAnsi="David" w:cs="David"/>
          <w:b/>
          <w:bCs/>
          <w:sz w:val="24"/>
          <w:szCs w:val="24"/>
          <w:rtl/>
        </w:rPr>
        <w:t>ת:</w:t>
      </w:r>
      <w:r w:rsidRPr="00827EB0">
        <w:rPr>
          <w:rFonts w:ascii="David" w:hAnsi="David" w:cs="David"/>
          <w:b/>
          <w:bCs/>
          <w:sz w:val="24"/>
          <w:szCs w:val="24"/>
          <w:rtl/>
        </w:rPr>
        <w:tab/>
      </w:r>
      <w:r w:rsidRPr="002D52DE">
        <w:rPr>
          <w:rFonts w:ascii="David" w:hAnsi="David" w:cs="David"/>
          <w:b/>
          <w:bCs/>
          <w:sz w:val="24"/>
          <w:szCs w:val="24"/>
          <w:u w:val="double"/>
          <w:rtl/>
        </w:rPr>
        <w:t>נ</w:t>
      </w:r>
      <w:r w:rsidR="00C110C5" w:rsidRPr="002D52DE">
        <w:rPr>
          <w:rFonts w:ascii="David" w:hAnsi="David" w:cs="David"/>
          <w:b/>
          <w:bCs/>
          <w:sz w:val="24"/>
          <w:szCs w:val="24"/>
          <w:u w:val="double"/>
          <w:rtl/>
        </w:rPr>
        <w:t>כון.</w:t>
      </w:r>
      <w:r w:rsidR="00C110C5" w:rsidRPr="00827EB0">
        <w:rPr>
          <w:rFonts w:ascii="David" w:eastAsia="Times New Roman" w:hAnsi="David" w:cs="David"/>
          <w:b/>
          <w:bCs/>
          <w:color w:val="000000"/>
          <w:sz w:val="24"/>
          <w:szCs w:val="24"/>
          <w:rtl/>
        </w:rPr>
        <w:t xml:space="preserve"> </w:t>
      </w:r>
    </w:p>
    <w:p w:rsidR="00BB33A8" w:rsidRPr="00827EB0" w:rsidRDefault="00BB33A8" w:rsidP="00C110C5">
      <w:pPr>
        <w:pStyle w:val="af0"/>
        <w:spacing w:after="0" w:line="330" w:lineRule="atLeast"/>
        <w:ind w:left="1437" w:hanging="870"/>
        <w:jc w:val="both"/>
        <w:rPr>
          <w:rFonts w:ascii="David" w:eastAsia="Times New Roman" w:hAnsi="David" w:cs="David"/>
          <w:b/>
          <w:bCs/>
          <w:color w:val="000000"/>
          <w:sz w:val="24"/>
          <w:szCs w:val="24"/>
          <w:rtl/>
        </w:rPr>
      </w:pPr>
    </w:p>
    <w:p w:rsidR="000D4BB1" w:rsidRPr="00827EB0" w:rsidRDefault="00C110C5" w:rsidP="00C110C5">
      <w:pPr>
        <w:pStyle w:val="af0"/>
        <w:spacing w:after="0" w:line="330" w:lineRule="atLeast"/>
        <w:ind w:left="1437" w:hanging="870"/>
        <w:jc w:val="both"/>
        <w:rPr>
          <w:rFonts w:ascii="David" w:hAnsi="David" w:cs="David"/>
          <w:b/>
          <w:bCs/>
          <w:sz w:val="24"/>
          <w:szCs w:val="24"/>
          <w:rtl/>
        </w:rPr>
      </w:pPr>
      <w:r w:rsidRPr="00827EB0">
        <w:rPr>
          <w:rFonts w:ascii="David" w:eastAsia="Times New Roman" w:hAnsi="David" w:cs="David"/>
          <w:b/>
          <w:bCs/>
          <w:color w:val="000000"/>
          <w:sz w:val="24"/>
          <w:szCs w:val="24"/>
          <w:rtl/>
        </w:rPr>
        <w:lastRenderedPageBreak/>
        <w:t>ש:</w:t>
      </w:r>
      <w:r w:rsidRPr="00827EB0">
        <w:rPr>
          <w:rFonts w:ascii="David" w:eastAsia="Times New Roman" w:hAnsi="David" w:cs="David"/>
          <w:b/>
          <w:bCs/>
          <w:color w:val="000000"/>
          <w:sz w:val="24"/>
          <w:szCs w:val="24"/>
          <w:rtl/>
        </w:rPr>
        <w:tab/>
      </w:r>
      <w:r w:rsidR="000D4BB1" w:rsidRPr="00827EB0">
        <w:rPr>
          <w:rFonts w:ascii="David" w:hAnsi="David" w:cs="David"/>
          <w:b/>
          <w:bCs/>
          <w:sz w:val="24"/>
          <w:szCs w:val="24"/>
          <w:rtl/>
        </w:rPr>
        <w:tab/>
        <w:t>עכשיו תאמרי לי, גם כתבת שאין לה תסמינים פסיכוטיים פעילים, אין לה תסמיני הפרעה אפקטיבית מג'ורית ויכולה לדאוג לעצמה היטב נכון?</w:t>
      </w:r>
    </w:p>
    <w:p w:rsidR="000D4BB1" w:rsidRPr="00827EB0" w:rsidRDefault="00C110C5" w:rsidP="00C110C5">
      <w:pPr>
        <w:pStyle w:val="af0"/>
        <w:spacing w:after="0" w:line="330" w:lineRule="atLeast"/>
        <w:ind w:left="1437" w:hanging="870"/>
        <w:jc w:val="both"/>
        <w:rPr>
          <w:rFonts w:ascii="David" w:hAnsi="David" w:cs="David"/>
          <w:b/>
          <w:bCs/>
          <w:sz w:val="24"/>
          <w:szCs w:val="24"/>
          <w:rtl/>
        </w:rPr>
      </w:pPr>
      <w:r w:rsidRPr="00827EB0">
        <w:rPr>
          <w:rFonts w:ascii="David" w:hAnsi="David" w:cs="David"/>
          <w:b/>
          <w:bCs/>
          <w:sz w:val="24"/>
          <w:szCs w:val="24"/>
          <w:rtl/>
        </w:rPr>
        <w:t>ת:</w:t>
      </w:r>
      <w:r w:rsidRPr="00827EB0">
        <w:rPr>
          <w:rFonts w:ascii="David" w:hAnsi="David" w:cs="David"/>
          <w:b/>
          <w:bCs/>
          <w:sz w:val="24"/>
          <w:szCs w:val="24"/>
          <w:rtl/>
        </w:rPr>
        <w:tab/>
      </w:r>
      <w:r w:rsidR="000D4BB1" w:rsidRPr="00827EB0">
        <w:rPr>
          <w:rFonts w:ascii="David" w:hAnsi="David" w:cs="David"/>
          <w:b/>
          <w:bCs/>
          <w:sz w:val="24"/>
          <w:szCs w:val="24"/>
          <w:rtl/>
        </w:rPr>
        <w:tab/>
      </w:r>
      <w:r w:rsidR="000D4BB1" w:rsidRPr="00EE3DE6">
        <w:rPr>
          <w:rFonts w:ascii="David" w:hAnsi="David" w:cs="David"/>
          <w:b/>
          <w:bCs/>
          <w:sz w:val="24"/>
          <w:szCs w:val="24"/>
          <w:u w:val="double"/>
          <w:rtl/>
        </w:rPr>
        <w:t>נכון</w:t>
      </w:r>
      <w:r w:rsidR="000D4BB1" w:rsidRPr="00827EB0">
        <w:rPr>
          <w:rFonts w:ascii="David" w:hAnsi="David" w:cs="David"/>
          <w:b/>
          <w:bCs/>
          <w:sz w:val="24"/>
          <w:szCs w:val="24"/>
          <w:rtl/>
        </w:rPr>
        <w:t>. "יכולה לדאוג לעצמה היטב" ציטוט שלי?</w:t>
      </w:r>
    </w:p>
    <w:p w:rsidR="00C110C5" w:rsidRPr="002D52DE" w:rsidRDefault="00C110C5" w:rsidP="00C110C5">
      <w:pPr>
        <w:pStyle w:val="af0"/>
        <w:spacing w:after="0" w:line="330" w:lineRule="atLeast"/>
        <w:ind w:left="1437" w:hanging="870"/>
        <w:jc w:val="both"/>
        <w:rPr>
          <w:rFonts w:ascii="David" w:hAnsi="David" w:cs="David"/>
          <w:b/>
          <w:bCs/>
          <w:rtl/>
        </w:rPr>
      </w:pPr>
      <w:r w:rsidRPr="002D52DE">
        <w:rPr>
          <w:rFonts w:ascii="David" w:hAnsi="David" w:cs="David"/>
          <w:b/>
          <w:bCs/>
          <w:rtl/>
        </w:rPr>
        <w:t>...</w:t>
      </w:r>
    </w:p>
    <w:p w:rsidR="000D4BB1" w:rsidRDefault="00C110C5" w:rsidP="00C110C5">
      <w:pPr>
        <w:pStyle w:val="af0"/>
        <w:spacing w:after="0" w:line="330" w:lineRule="atLeast"/>
        <w:ind w:left="1437" w:hanging="870"/>
        <w:jc w:val="both"/>
        <w:rPr>
          <w:rFonts w:ascii="David" w:hAnsi="David" w:cs="David"/>
          <w:b/>
          <w:bCs/>
          <w:sz w:val="24"/>
          <w:szCs w:val="24"/>
          <w:rtl/>
        </w:rPr>
      </w:pPr>
      <w:r w:rsidRPr="00827EB0">
        <w:rPr>
          <w:rFonts w:ascii="David" w:hAnsi="David" w:cs="David"/>
          <w:b/>
          <w:bCs/>
          <w:sz w:val="24"/>
          <w:szCs w:val="24"/>
          <w:rtl/>
        </w:rPr>
        <w:t>ש:</w:t>
      </w:r>
      <w:r w:rsidRPr="00827EB0">
        <w:rPr>
          <w:rFonts w:ascii="David" w:hAnsi="David" w:cs="David"/>
          <w:b/>
          <w:bCs/>
          <w:sz w:val="24"/>
          <w:szCs w:val="24"/>
          <w:rtl/>
        </w:rPr>
        <w:tab/>
      </w:r>
      <w:r w:rsidR="000D4BB1" w:rsidRPr="00827EB0">
        <w:rPr>
          <w:rFonts w:ascii="David" w:hAnsi="David" w:cs="David"/>
          <w:b/>
          <w:bCs/>
          <w:sz w:val="24"/>
          <w:szCs w:val="24"/>
          <w:rtl/>
        </w:rPr>
        <w:t xml:space="preserve">כשאת ישבת פעולה </w:t>
      </w:r>
      <w:r w:rsidR="002D52DE" w:rsidRPr="002D52DE">
        <w:rPr>
          <w:rFonts w:ascii="David" w:hAnsi="David" w:cs="David" w:hint="cs"/>
          <w:sz w:val="24"/>
          <w:szCs w:val="24"/>
          <w:rtl/>
        </w:rPr>
        <w:t xml:space="preserve">(צ"ל </w:t>
      </w:r>
      <w:r w:rsidR="002D52DE" w:rsidRPr="002D52DE">
        <w:rPr>
          <w:rFonts w:ascii="David" w:hAnsi="David" w:cs="David"/>
          <w:sz w:val="24"/>
          <w:szCs w:val="24"/>
          <w:rtl/>
        </w:rPr>
        <w:t>–</w:t>
      </w:r>
      <w:r w:rsidR="002D52DE" w:rsidRPr="002D52DE">
        <w:rPr>
          <w:rFonts w:ascii="David" w:hAnsi="David" w:cs="David" w:hint="cs"/>
          <w:sz w:val="24"/>
          <w:szCs w:val="24"/>
          <w:rtl/>
        </w:rPr>
        <w:t xml:space="preserve"> מולה, י' ש')</w:t>
      </w:r>
      <w:r w:rsidR="002D52DE">
        <w:rPr>
          <w:rFonts w:ascii="David" w:hAnsi="David" w:cs="David" w:hint="cs"/>
          <w:b/>
          <w:bCs/>
          <w:sz w:val="24"/>
          <w:szCs w:val="24"/>
          <w:rtl/>
        </w:rPr>
        <w:t xml:space="preserve"> </w:t>
      </w:r>
      <w:r w:rsidR="000D4BB1" w:rsidRPr="00827EB0">
        <w:rPr>
          <w:rFonts w:ascii="David" w:hAnsi="David" w:cs="David"/>
          <w:b/>
          <w:bCs/>
          <w:sz w:val="24"/>
          <w:szCs w:val="24"/>
          <w:rtl/>
        </w:rPr>
        <w:t>בין שעה לשעתיים שזו ההתרשמות שלך ממנה, התרשמת שהיא מסוגלת להגיש תביעה נגד אבא שלה או לא?</w:t>
      </w:r>
    </w:p>
    <w:p w:rsidR="000D4BB1" w:rsidRPr="00827EB0" w:rsidRDefault="00C110C5" w:rsidP="00C110C5">
      <w:pPr>
        <w:pStyle w:val="af0"/>
        <w:spacing w:after="0" w:line="330" w:lineRule="atLeast"/>
        <w:ind w:left="1437" w:hanging="870"/>
        <w:jc w:val="both"/>
        <w:rPr>
          <w:rFonts w:ascii="David" w:hAnsi="David" w:cs="David"/>
          <w:b/>
          <w:bCs/>
          <w:sz w:val="24"/>
          <w:szCs w:val="24"/>
          <w:rtl/>
        </w:rPr>
      </w:pPr>
      <w:r w:rsidRPr="00827EB0">
        <w:rPr>
          <w:rFonts w:ascii="David" w:hAnsi="David" w:cs="David"/>
          <w:b/>
          <w:bCs/>
          <w:sz w:val="24"/>
          <w:szCs w:val="24"/>
          <w:rtl/>
        </w:rPr>
        <w:t>ת:</w:t>
      </w:r>
      <w:r w:rsidRPr="00827EB0">
        <w:rPr>
          <w:rFonts w:ascii="David" w:hAnsi="David" w:cs="David"/>
          <w:b/>
          <w:bCs/>
          <w:sz w:val="24"/>
          <w:szCs w:val="24"/>
          <w:rtl/>
        </w:rPr>
        <w:tab/>
      </w:r>
      <w:r w:rsidR="000D4BB1" w:rsidRPr="00827EB0">
        <w:rPr>
          <w:rFonts w:ascii="David" w:hAnsi="David" w:cs="David"/>
          <w:b/>
          <w:bCs/>
          <w:sz w:val="24"/>
          <w:szCs w:val="24"/>
          <w:rtl/>
        </w:rPr>
        <w:tab/>
        <w:t>אני חושבת שההתרשמות שלי הייתה שהנושא הזה הוא נושא מה שנקרא גורם דחק טראומטי, שהוא כל פעם מערער אותה מאוד, יש לי דוגמאות רבות מהבדיקה שלה ואני לא יודעת בכנות אם היא יכולה לעשות את התהליך הזה עד סופו או לא גם היום.</w:t>
      </w:r>
    </w:p>
    <w:p w:rsidR="000D4BB1" w:rsidRPr="00827EB0" w:rsidRDefault="00C110C5" w:rsidP="00C110C5">
      <w:pPr>
        <w:pStyle w:val="af0"/>
        <w:spacing w:after="0" w:line="330" w:lineRule="atLeast"/>
        <w:ind w:left="1437" w:hanging="870"/>
        <w:jc w:val="both"/>
        <w:rPr>
          <w:rFonts w:ascii="David" w:hAnsi="David" w:cs="David"/>
          <w:b/>
          <w:bCs/>
          <w:sz w:val="24"/>
          <w:szCs w:val="24"/>
          <w:rtl/>
        </w:rPr>
      </w:pPr>
      <w:r w:rsidRPr="00827EB0">
        <w:rPr>
          <w:rFonts w:ascii="David" w:hAnsi="David" w:cs="David"/>
          <w:b/>
          <w:bCs/>
          <w:sz w:val="24"/>
          <w:szCs w:val="24"/>
          <w:rtl/>
        </w:rPr>
        <w:t>ש:</w:t>
      </w:r>
      <w:r w:rsidRPr="00827EB0">
        <w:rPr>
          <w:rFonts w:ascii="David" w:hAnsi="David" w:cs="David"/>
          <w:b/>
          <w:bCs/>
          <w:sz w:val="24"/>
          <w:szCs w:val="24"/>
          <w:rtl/>
        </w:rPr>
        <w:tab/>
      </w:r>
      <w:r w:rsidR="000D4BB1" w:rsidRPr="00827EB0">
        <w:rPr>
          <w:rFonts w:ascii="David" w:hAnsi="David" w:cs="David"/>
          <w:b/>
          <w:bCs/>
          <w:sz w:val="24"/>
          <w:szCs w:val="24"/>
          <w:rtl/>
        </w:rPr>
        <w:tab/>
      </w:r>
      <w:r w:rsidR="000D4BB1" w:rsidRPr="00EE3DE6">
        <w:rPr>
          <w:rFonts w:ascii="David" w:hAnsi="David" w:cs="David"/>
          <w:b/>
          <w:bCs/>
          <w:sz w:val="24"/>
          <w:szCs w:val="24"/>
          <w:u w:val="double"/>
          <w:rtl/>
        </w:rPr>
        <w:t>כלומר את לא יודעת</w:t>
      </w:r>
      <w:r w:rsidR="000D4BB1" w:rsidRPr="00827EB0">
        <w:rPr>
          <w:rFonts w:ascii="David" w:hAnsi="David" w:cs="David"/>
          <w:b/>
          <w:bCs/>
          <w:sz w:val="24"/>
          <w:szCs w:val="24"/>
          <w:rtl/>
        </w:rPr>
        <w:t>.</w:t>
      </w:r>
    </w:p>
    <w:p w:rsidR="000D4BB1" w:rsidRPr="00C110C5" w:rsidRDefault="00C110C5" w:rsidP="00B53D90">
      <w:pPr>
        <w:pStyle w:val="af0"/>
        <w:spacing w:after="0" w:line="330" w:lineRule="atLeast"/>
        <w:ind w:left="1437" w:hanging="870"/>
        <w:jc w:val="both"/>
        <w:rPr>
          <w:rFonts w:ascii="David" w:hAnsi="David" w:cs="David"/>
          <w:sz w:val="24"/>
          <w:szCs w:val="24"/>
          <w:rtl/>
        </w:rPr>
      </w:pPr>
      <w:r w:rsidRPr="00827EB0">
        <w:rPr>
          <w:rFonts w:ascii="David" w:hAnsi="David" w:cs="David"/>
          <w:b/>
          <w:bCs/>
          <w:sz w:val="24"/>
          <w:szCs w:val="24"/>
          <w:rtl/>
        </w:rPr>
        <w:t>ת:</w:t>
      </w:r>
      <w:r w:rsidRPr="00827EB0">
        <w:rPr>
          <w:rFonts w:ascii="David" w:hAnsi="David" w:cs="David"/>
          <w:b/>
          <w:bCs/>
          <w:sz w:val="24"/>
          <w:szCs w:val="24"/>
          <w:rtl/>
        </w:rPr>
        <w:tab/>
      </w:r>
      <w:r w:rsidRPr="00827EB0">
        <w:rPr>
          <w:rFonts w:ascii="David" w:hAnsi="David" w:cs="David"/>
          <w:b/>
          <w:bCs/>
          <w:sz w:val="24"/>
          <w:szCs w:val="24"/>
          <w:rtl/>
        </w:rPr>
        <w:tab/>
      </w:r>
      <w:r w:rsidRPr="00EE3DE6">
        <w:rPr>
          <w:rFonts w:ascii="David" w:hAnsi="David" w:cs="David"/>
          <w:b/>
          <w:bCs/>
          <w:sz w:val="24"/>
          <w:szCs w:val="24"/>
          <w:u w:val="double"/>
          <w:rtl/>
        </w:rPr>
        <w:t>לא</w:t>
      </w:r>
      <w:r w:rsidRPr="00827EB0">
        <w:rPr>
          <w:rFonts w:ascii="David" w:hAnsi="David" w:cs="David" w:hint="cs"/>
          <w:b/>
          <w:bCs/>
          <w:sz w:val="24"/>
          <w:szCs w:val="24"/>
          <w:rtl/>
        </w:rPr>
        <w:t>"</w:t>
      </w:r>
      <w:r>
        <w:rPr>
          <w:rFonts w:ascii="David" w:hAnsi="David" w:cs="David" w:hint="cs"/>
          <w:sz w:val="24"/>
          <w:szCs w:val="24"/>
          <w:rtl/>
        </w:rPr>
        <w:t xml:space="preserve"> </w:t>
      </w:r>
      <w:r w:rsidRPr="00B53D90">
        <w:rPr>
          <w:rFonts w:ascii="David" w:hAnsi="David" w:cs="David" w:hint="cs"/>
          <w:sz w:val="24"/>
          <w:szCs w:val="24"/>
          <w:rtl/>
        </w:rPr>
        <w:t xml:space="preserve">(עמ' </w:t>
      </w:r>
      <w:r w:rsidR="00B53D90" w:rsidRPr="00B53D90">
        <w:rPr>
          <w:rFonts w:ascii="David" w:hAnsi="David" w:cs="David" w:hint="cs"/>
          <w:sz w:val="24"/>
          <w:szCs w:val="24"/>
          <w:rtl/>
        </w:rPr>
        <w:t>62</w:t>
      </w:r>
      <w:r w:rsidRPr="00B53D90">
        <w:rPr>
          <w:rFonts w:ascii="David" w:hAnsi="David" w:cs="David" w:hint="cs"/>
          <w:sz w:val="24"/>
          <w:szCs w:val="24"/>
          <w:rtl/>
        </w:rPr>
        <w:t xml:space="preserve">, ש' </w:t>
      </w:r>
      <w:r w:rsidR="00B53D90" w:rsidRPr="00B53D90">
        <w:rPr>
          <w:rFonts w:ascii="David" w:hAnsi="David" w:cs="David" w:hint="cs"/>
          <w:sz w:val="24"/>
          <w:szCs w:val="24"/>
          <w:rtl/>
        </w:rPr>
        <w:t>1-36; עמ' 63 ש' 1-4).</w:t>
      </w:r>
    </w:p>
    <w:p w:rsidR="00C110C5" w:rsidRPr="002D52DE" w:rsidRDefault="00C110C5" w:rsidP="00C110C5">
      <w:pPr>
        <w:pStyle w:val="af0"/>
        <w:spacing w:after="0" w:line="330" w:lineRule="atLeast"/>
        <w:ind w:left="1437" w:hanging="870"/>
        <w:jc w:val="both"/>
        <w:rPr>
          <w:rFonts w:ascii="David" w:hAnsi="David" w:cs="David"/>
          <w:sz w:val="18"/>
          <w:szCs w:val="18"/>
          <w:rtl/>
        </w:rPr>
      </w:pPr>
    </w:p>
    <w:p w:rsidR="00C110C5" w:rsidRDefault="00C110C5" w:rsidP="002D52DE">
      <w:pPr>
        <w:pStyle w:val="af0"/>
        <w:numPr>
          <w:ilvl w:val="0"/>
          <w:numId w:val="1"/>
        </w:numPr>
        <w:spacing w:after="0" w:line="330" w:lineRule="atLeast"/>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הוכחה ניצחת וחד משמעית ל</w:t>
      </w:r>
      <w:r w:rsidR="002D52DE">
        <w:rPr>
          <w:rFonts w:ascii="David" w:eastAsia="Times New Roman" w:hAnsi="David" w:cs="David" w:hint="cs"/>
          <w:color w:val="000000"/>
          <w:sz w:val="24"/>
          <w:szCs w:val="24"/>
          <w:rtl/>
        </w:rPr>
        <w:t xml:space="preserve">אי יכולתה של </w:t>
      </w:r>
      <w:r>
        <w:rPr>
          <w:rFonts w:ascii="David" w:eastAsia="Times New Roman" w:hAnsi="David" w:cs="David" w:hint="cs"/>
          <w:color w:val="000000"/>
          <w:sz w:val="24"/>
          <w:szCs w:val="24"/>
          <w:rtl/>
        </w:rPr>
        <w:t xml:space="preserve">חוות הדעת </w:t>
      </w:r>
      <w:r w:rsidRPr="00827EB0">
        <w:rPr>
          <w:rFonts w:ascii="David" w:eastAsia="Times New Roman" w:hAnsi="David" w:cs="David" w:hint="cs"/>
          <w:i/>
          <w:iCs/>
          <w:color w:val="000000"/>
          <w:sz w:val="24"/>
          <w:szCs w:val="24"/>
          <w:u w:val="single"/>
          <w:rtl/>
        </w:rPr>
        <w:t>לסייע</w:t>
      </w:r>
      <w:r>
        <w:rPr>
          <w:rFonts w:ascii="David" w:eastAsia="Times New Roman" w:hAnsi="David" w:cs="David" w:hint="cs"/>
          <w:color w:val="000000"/>
          <w:sz w:val="24"/>
          <w:szCs w:val="24"/>
          <w:rtl/>
        </w:rPr>
        <w:t xml:space="preserve"> לעניינה של התובעת, אנו מוצאים בהמשך חקירתה של המומחית מטעם התובעת, אשר ברוב הגינותה, השיבה:</w:t>
      </w:r>
    </w:p>
    <w:p w:rsidR="00C110C5" w:rsidRPr="002D52DE" w:rsidRDefault="00C110C5" w:rsidP="00C110C5">
      <w:pPr>
        <w:pStyle w:val="af0"/>
        <w:spacing w:after="0" w:line="330" w:lineRule="atLeast"/>
        <w:ind w:left="1437" w:hanging="870"/>
        <w:jc w:val="both"/>
        <w:rPr>
          <w:rFonts w:ascii="David" w:hAnsi="David" w:cs="David"/>
          <w:sz w:val="16"/>
          <w:szCs w:val="16"/>
          <w:rtl/>
        </w:rPr>
      </w:pPr>
    </w:p>
    <w:p w:rsidR="000D4BB1" w:rsidRPr="00827EB0" w:rsidRDefault="00C110C5" w:rsidP="00827EB0">
      <w:pPr>
        <w:pStyle w:val="af0"/>
        <w:spacing w:after="0" w:line="330" w:lineRule="atLeast"/>
        <w:ind w:left="1437" w:hanging="870"/>
        <w:jc w:val="both"/>
        <w:rPr>
          <w:rFonts w:ascii="David" w:hAnsi="David" w:cs="David"/>
          <w:b/>
          <w:bCs/>
          <w:sz w:val="24"/>
          <w:szCs w:val="24"/>
          <w:rtl/>
        </w:rPr>
      </w:pPr>
      <w:r w:rsidRPr="00827EB0">
        <w:rPr>
          <w:rFonts w:ascii="David" w:hAnsi="David" w:cs="David" w:hint="cs"/>
          <w:b/>
          <w:bCs/>
          <w:sz w:val="24"/>
          <w:szCs w:val="24"/>
          <w:rtl/>
        </w:rPr>
        <w:t>"ש:</w:t>
      </w:r>
      <w:r w:rsidRPr="00827EB0">
        <w:rPr>
          <w:rFonts w:ascii="David" w:hAnsi="David" w:cs="David"/>
          <w:b/>
          <w:bCs/>
          <w:sz w:val="24"/>
          <w:szCs w:val="24"/>
          <w:rtl/>
        </w:rPr>
        <w:tab/>
      </w:r>
      <w:r w:rsidR="000D4BB1" w:rsidRPr="00827EB0">
        <w:rPr>
          <w:rFonts w:ascii="David" w:hAnsi="David" w:cs="David"/>
          <w:b/>
          <w:bCs/>
          <w:sz w:val="24"/>
          <w:szCs w:val="24"/>
          <w:rtl/>
        </w:rPr>
        <w:t>תגידי לי ב-2015 פברואר היא הייתה מסוגלת להגיש את התביעה?</w:t>
      </w:r>
    </w:p>
    <w:p w:rsidR="000D4BB1" w:rsidRPr="00827EB0" w:rsidRDefault="00827EB0" w:rsidP="00827EB0">
      <w:pPr>
        <w:pStyle w:val="af0"/>
        <w:spacing w:after="0" w:line="330" w:lineRule="atLeast"/>
        <w:ind w:left="1437" w:hanging="870"/>
        <w:jc w:val="both"/>
        <w:rPr>
          <w:rFonts w:ascii="David" w:hAnsi="David" w:cs="David"/>
          <w:b/>
          <w:bCs/>
          <w:sz w:val="24"/>
          <w:szCs w:val="24"/>
          <w:rtl/>
        </w:rPr>
      </w:pPr>
      <w:r w:rsidRPr="00827EB0">
        <w:rPr>
          <w:rFonts w:ascii="David" w:hAnsi="David" w:cs="David" w:hint="cs"/>
          <w:b/>
          <w:bCs/>
          <w:sz w:val="24"/>
          <w:szCs w:val="24"/>
          <w:rtl/>
        </w:rPr>
        <w:t>ת:</w:t>
      </w:r>
      <w:r w:rsidRPr="00827EB0">
        <w:rPr>
          <w:rFonts w:ascii="David" w:hAnsi="David" w:cs="David"/>
          <w:b/>
          <w:bCs/>
          <w:sz w:val="24"/>
          <w:szCs w:val="24"/>
          <w:rtl/>
        </w:rPr>
        <w:tab/>
      </w:r>
      <w:r w:rsidR="000D4BB1" w:rsidRPr="00827EB0">
        <w:rPr>
          <w:rFonts w:ascii="David" w:hAnsi="David" w:cs="David"/>
          <w:b/>
          <w:bCs/>
          <w:sz w:val="24"/>
          <w:szCs w:val="24"/>
          <w:rtl/>
        </w:rPr>
        <w:tab/>
      </w:r>
      <w:r w:rsidR="000D4BB1" w:rsidRPr="00827EB0">
        <w:rPr>
          <w:rFonts w:ascii="David" w:hAnsi="David" w:cs="David"/>
          <w:b/>
          <w:bCs/>
          <w:sz w:val="24"/>
          <w:szCs w:val="24"/>
          <w:u w:val="double"/>
          <w:rtl/>
        </w:rPr>
        <w:t>אין לי מושג</w:t>
      </w:r>
      <w:r w:rsidR="000D4BB1" w:rsidRPr="00827EB0">
        <w:rPr>
          <w:rFonts w:ascii="David" w:hAnsi="David" w:cs="David"/>
          <w:b/>
          <w:bCs/>
          <w:sz w:val="24"/>
          <w:szCs w:val="24"/>
          <w:rtl/>
        </w:rPr>
        <w:t>.</w:t>
      </w:r>
    </w:p>
    <w:p w:rsidR="000D4BB1" w:rsidRPr="00827EB0" w:rsidRDefault="00827EB0" w:rsidP="00827EB0">
      <w:pPr>
        <w:pStyle w:val="af0"/>
        <w:spacing w:after="0" w:line="330" w:lineRule="atLeast"/>
        <w:ind w:left="1437" w:hanging="870"/>
        <w:jc w:val="both"/>
        <w:rPr>
          <w:rFonts w:ascii="David" w:hAnsi="David" w:cs="David"/>
          <w:b/>
          <w:bCs/>
          <w:sz w:val="24"/>
          <w:szCs w:val="24"/>
          <w:rtl/>
        </w:rPr>
      </w:pPr>
      <w:r w:rsidRPr="00827EB0">
        <w:rPr>
          <w:rFonts w:ascii="David" w:hAnsi="David" w:cs="David" w:hint="cs"/>
          <w:b/>
          <w:bCs/>
          <w:sz w:val="24"/>
          <w:szCs w:val="24"/>
          <w:rtl/>
        </w:rPr>
        <w:t>ש:</w:t>
      </w:r>
      <w:r w:rsidRPr="00827EB0">
        <w:rPr>
          <w:rFonts w:ascii="David" w:hAnsi="David" w:cs="David"/>
          <w:b/>
          <w:bCs/>
          <w:sz w:val="24"/>
          <w:szCs w:val="24"/>
          <w:rtl/>
        </w:rPr>
        <w:tab/>
      </w:r>
      <w:r w:rsidR="000D4BB1" w:rsidRPr="00827EB0">
        <w:rPr>
          <w:rFonts w:ascii="David" w:hAnsi="David" w:cs="David"/>
          <w:b/>
          <w:bCs/>
          <w:sz w:val="24"/>
          <w:szCs w:val="24"/>
          <w:rtl/>
        </w:rPr>
        <w:tab/>
        <w:t>ב-02/07/2011 הייתה מסוגלת?</w:t>
      </w:r>
    </w:p>
    <w:p w:rsidR="000D4BB1" w:rsidRPr="00827EB0" w:rsidRDefault="00827EB0" w:rsidP="00827EB0">
      <w:pPr>
        <w:pStyle w:val="af0"/>
        <w:spacing w:after="0" w:line="330" w:lineRule="atLeast"/>
        <w:ind w:left="1437" w:hanging="870"/>
        <w:jc w:val="both"/>
        <w:rPr>
          <w:rFonts w:ascii="David" w:hAnsi="David" w:cs="David"/>
          <w:b/>
          <w:bCs/>
          <w:sz w:val="24"/>
          <w:szCs w:val="24"/>
          <w:rtl/>
        </w:rPr>
      </w:pPr>
      <w:r w:rsidRPr="00827EB0">
        <w:rPr>
          <w:rFonts w:ascii="David" w:hAnsi="David" w:cs="David" w:hint="cs"/>
          <w:b/>
          <w:bCs/>
          <w:sz w:val="24"/>
          <w:szCs w:val="24"/>
          <w:rtl/>
        </w:rPr>
        <w:t>ת:</w:t>
      </w:r>
      <w:r w:rsidRPr="00827EB0">
        <w:rPr>
          <w:rFonts w:ascii="David" w:hAnsi="David" w:cs="David"/>
          <w:b/>
          <w:bCs/>
          <w:sz w:val="24"/>
          <w:szCs w:val="24"/>
          <w:rtl/>
        </w:rPr>
        <w:tab/>
      </w:r>
      <w:r w:rsidR="000D4BB1" w:rsidRPr="00827EB0">
        <w:rPr>
          <w:rFonts w:ascii="David" w:hAnsi="David" w:cs="David"/>
          <w:b/>
          <w:bCs/>
          <w:sz w:val="24"/>
          <w:szCs w:val="24"/>
          <w:rtl/>
        </w:rPr>
        <w:tab/>
      </w:r>
      <w:r w:rsidR="000D4BB1" w:rsidRPr="00827EB0">
        <w:rPr>
          <w:rFonts w:ascii="David" w:hAnsi="David" w:cs="David"/>
          <w:b/>
          <w:bCs/>
          <w:sz w:val="24"/>
          <w:szCs w:val="24"/>
          <w:u w:val="double"/>
          <w:rtl/>
        </w:rPr>
        <w:t>אענה על כל תאריכי העבר כנראה אותו דבר, שאין לי מושג</w:t>
      </w:r>
      <w:r w:rsidR="000D4BB1" w:rsidRPr="00827EB0">
        <w:rPr>
          <w:rFonts w:ascii="David" w:hAnsi="David" w:cs="David"/>
          <w:b/>
          <w:bCs/>
          <w:sz w:val="24"/>
          <w:szCs w:val="24"/>
          <w:rtl/>
        </w:rPr>
        <w:t>.</w:t>
      </w:r>
    </w:p>
    <w:p w:rsidR="000D4BB1" w:rsidRPr="00B53D90" w:rsidRDefault="00827EB0" w:rsidP="00B53D90">
      <w:pPr>
        <w:pStyle w:val="af0"/>
        <w:spacing w:after="0" w:line="330" w:lineRule="atLeast"/>
        <w:ind w:left="1437" w:hanging="870"/>
        <w:jc w:val="both"/>
        <w:rPr>
          <w:rFonts w:ascii="David" w:hAnsi="David" w:cs="David"/>
          <w:sz w:val="24"/>
          <w:szCs w:val="24"/>
          <w:rtl/>
        </w:rPr>
      </w:pPr>
      <w:r w:rsidRPr="00827EB0">
        <w:rPr>
          <w:rFonts w:ascii="David" w:hAnsi="David" w:cs="David" w:hint="cs"/>
          <w:b/>
          <w:bCs/>
          <w:sz w:val="24"/>
          <w:szCs w:val="24"/>
          <w:rtl/>
        </w:rPr>
        <w:t>ש:</w:t>
      </w:r>
      <w:r w:rsidRPr="00827EB0">
        <w:rPr>
          <w:rFonts w:ascii="David" w:hAnsi="David" w:cs="David"/>
          <w:b/>
          <w:bCs/>
          <w:sz w:val="24"/>
          <w:szCs w:val="24"/>
          <w:rtl/>
        </w:rPr>
        <w:tab/>
      </w:r>
      <w:r w:rsidR="000D4BB1" w:rsidRPr="00827EB0">
        <w:rPr>
          <w:rFonts w:ascii="David" w:hAnsi="David" w:cs="David"/>
          <w:b/>
          <w:bCs/>
          <w:sz w:val="24"/>
          <w:szCs w:val="24"/>
          <w:rtl/>
        </w:rPr>
        <w:tab/>
        <w:t xml:space="preserve">אני מסכים איתך. </w:t>
      </w:r>
      <w:r w:rsidR="000D4BB1" w:rsidRPr="00EE3DE6">
        <w:rPr>
          <w:rFonts w:ascii="David" w:hAnsi="David" w:cs="David"/>
          <w:b/>
          <w:bCs/>
          <w:sz w:val="24"/>
          <w:szCs w:val="24"/>
          <w:u w:val="double"/>
          <w:rtl/>
        </w:rPr>
        <w:t xml:space="preserve">אני חושב שאנחנו די </w:t>
      </w:r>
      <w:r w:rsidRPr="00EE3DE6">
        <w:rPr>
          <w:rFonts w:ascii="David" w:hAnsi="David" w:cs="David"/>
          <w:b/>
          <w:bCs/>
          <w:sz w:val="24"/>
          <w:szCs w:val="24"/>
          <w:u w:val="double"/>
          <w:rtl/>
        </w:rPr>
        <w:t>יכולים לסיים את החקירה בשלב הזה</w:t>
      </w:r>
      <w:r w:rsidRPr="00827EB0">
        <w:rPr>
          <w:rFonts w:ascii="David" w:hAnsi="David" w:cs="David" w:hint="cs"/>
          <w:b/>
          <w:bCs/>
          <w:sz w:val="24"/>
          <w:szCs w:val="24"/>
          <w:rtl/>
        </w:rPr>
        <w:t>"</w:t>
      </w:r>
      <w:r>
        <w:rPr>
          <w:rFonts w:ascii="David" w:hAnsi="David" w:cs="David" w:hint="cs"/>
          <w:sz w:val="24"/>
          <w:szCs w:val="24"/>
          <w:rtl/>
        </w:rPr>
        <w:t xml:space="preserve"> </w:t>
      </w:r>
      <w:r w:rsidRPr="00B53D90">
        <w:rPr>
          <w:rFonts w:ascii="David" w:hAnsi="David" w:cs="David" w:hint="cs"/>
          <w:sz w:val="24"/>
          <w:szCs w:val="24"/>
          <w:rtl/>
        </w:rPr>
        <w:t xml:space="preserve">(ר' עמ' </w:t>
      </w:r>
      <w:r w:rsidR="00B53D90" w:rsidRPr="00B53D90">
        <w:rPr>
          <w:rFonts w:ascii="David" w:hAnsi="David" w:cs="David" w:hint="cs"/>
          <w:sz w:val="24"/>
          <w:szCs w:val="24"/>
          <w:rtl/>
        </w:rPr>
        <w:t>63</w:t>
      </w:r>
      <w:r w:rsidRPr="00B53D90">
        <w:rPr>
          <w:rFonts w:ascii="David" w:hAnsi="David" w:cs="David" w:hint="cs"/>
          <w:sz w:val="24"/>
          <w:szCs w:val="24"/>
          <w:rtl/>
        </w:rPr>
        <w:t xml:space="preserve">, ש' </w:t>
      </w:r>
      <w:r w:rsidR="00B53D90" w:rsidRPr="00B53D90">
        <w:rPr>
          <w:rFonts w:ascii="David" w:hAnsi="David" w:cs="David" w:hint="cs"/>
          <w:sz w:val="24"/>
          <w:szCs w:val="24"/>
          <w:rtl/>
        </w:rPr>
        <w:t>17-21</w:t>
      </w:r>
      <w:r w:rsidRPr="00B53D90">
        <w:rPr>
          <w:rFonts w:ascii="David" w:hAnsi="David" w:cs="David" w:hint="cs"/>
          <w:sz w:val="24"/>
          <w:szCs w:val="24"/>
          <w:rtl/>
        </w:rPr>
        <w:t>).</w:t>
      </w:r>
    </w:p>
    <w:p w:rsidR="00827EB0" w:rsidRDefault="00827EB0" w:rsidP="00827EB0">
      <w:pPr>
        <w:pStyle w:val="af0"/>
        <w:spacing w:after="0" w:line="330" w:lineRule="atLeast"/>
        <w:ind w:left="1437" w:hanging="870"/>
        <w:jc w:val="both"/>
        <w:rPr>
          <w:rFonts w:ascii="David" w:hAnsi="David" w:cs="David"/>
          <w:sz w:val="24"/>
          <w:szCs w:val="24"/>
          <w:rtl/>
        </w:rPr>
      </w:pPr>
    </w:p>
    <w:p w:rsidR="000D4BB1" w:rsidRDefault="00827EB0" w:rsidP="00827EB0">
      <w:pPr>
        <w:pStyle w:val="af0"/>
        <w:numPr>
          <w:ilvl w:val="0"/>
          <w:numId w:val="1"/>
        </w:numPr>
        <w:spacing w:after="0" w:line="360" w:lineRule="auto"/>
        <w:ind w:left="567" w:hanging="567"/>
        <w:jc w:val="both"/>
        <w:rPr>
          <w:rFonts w:ascii="David" w:hAnsi="David" w:cs="David"/>
          <w:sz w:val="24"/>
          <w:szCs w:val="24"/>
        </w:rPr>
      </w:pPr>
      <w:r w:rsidRPr="00827EB0">
        <w:rPr>
          <w:rFonts w:ascii="David" w:eastAsia="Times New Roman" w:hAnsi="David" w:cs="David" w:hint="cs"/>
          <w:color w:val="000000"/>
          <w:sz w:val="24"/>
          <w:szCs w:val="24"/>
          <w:rtl/>
        </w:rPr>
        <w:t xml:space="preserve">מיד לאחר תשובותיה הכנות של ד"ר משגב, </w:t>
      </w:r>
      <w:r>
        <w:rPr>
          <w:rFonts w:ascii="David" w:eastAsia="Times New Roman" w:hAnsi="David" w:cs="David" w:hint="cs"/>
          <w:color w:val="000000"/>
          <w:sz w:val="24"/>
          <w:szCs w:val="24"/>
          <w:rtl/>
        </w:rPr>
        <w:t>נשאלה מפי שאלה</w:t>
      </w:r>
      <w:r w:rsidRPr="00827EB0">
        <w:rPr>
          <w:rFonts w:ascii="David" w:eastAsia="Times New Roman" w:hAnsi="David" w:cs="David" w:hint="cs"/>
          <w:color w:val="000000"/>
          <w:sz w:val="24"/>
          <w:szCs w:val="24"/>
          <w:rtl/>
        </w:rPr>
        <w:t xml:space="preserve">: </w:t>
      </w:r>
      <w:r w:rsidRPr="00827EB0">
        <w:rPr>
          <w:rFonts w:ascii="David" w:eastAsia="Times New Roman" w:hAnsi="David" w:cs="David" w:hint="cs"/>
          <w:b/>
          <w:bCs/>
          <w:color w:val="000000"/>
          <w:sz w:val="24"/>
          <w:szCs w:val="24"/>
          <w:rtl/>
        </w:rPr>
        <w:t>"</w:t>
      </w:r>
      <w:r w:rsidR="000D4BB1" w:rsidRPr="00827EB0">
        <w:rPr>
          <w:rFonts w:ascii="David" w:hAnsi="David" w:cs="David"/>
          <w:b/>
          <w:bCs/>
          <w:sz w:val="24"/>
          <w:szCs w:val="24"/>
          <w:rtl/>
        </w:rPr>
        <w:t>איזה ערך יש לחוות דעת אם אין לה מושג?</w:t>
      </w:r>
      <w:r w:rsidRPr="00827EB0">
        <w:rPr>
          <w:rFonts w:ascii="David" w:hAnsi="David" w:cs="David" w:hint="cs"/>
          <w:b/>
          <w:bCs/>
          <w:sz w:val="24"/>
          <w:szCs w:val="24"/>
          <w:rtl/>
        </w:rPr>
        <w:t>"</w:t>
      </w:r>
      <w:r>
        <w:rPr>
          <w:rFonts w:ascii="David" w:hAnsi="David" w:cs="David" w:hint="cs"/>
          <w:sz w:val="24"/>
          <w:szCs w:val="24"/>
          <w:rtl/>
        </w:rPr>
        <w:t xml:space="preserve"> (שם), מתוך מחשבה שייתכן והתובעת תבחן שוב את דיות ראיותיה להליך שבפני, ואולם היא בחרה להמשיך בהליך עד לקבלת פסק דין זה. </w:t>
      </w:r>
    </w:p>
    <w:p w:rsidR="00346F2E" w:rsidRPr="00346F2E" w:rsidRDefault="00346F2E" w:rsidP="00346F2E">
      <w:pPr>
        <w:pStyle w:val="af0"/>
        <w:spacing w:after="0" w:line="360" w:lineRule="auto"/>
        <w:ind w:left="567"/>
        <w:jc w:val="both"/>
        <w:rPr>
          <w:rFonts w:ascii="David" w:hAnsi="David" w:cs="David"/>
          <w:sz w:val="16"/>
          <w:szCs w:val="16"/>
        </w:rPr>
      </w:pPr>
    </w:p>
    <w:p w:rsidR="007709B9" w:rsidRDefault="0058702E" w:rsidP="00EF49A3">
      <w:pPr>
        <w:pStyle w:val="af0"/>
        <w:numPr>
          <w:ilvl w:val="0"/>
          <w:numId w:val="1"/>
        </w:numPr>
        <w:spacing w:after="0" w:line="330" w:lineRule="atLeast"/>
        <w:ind w:left="567" w:hanging="567"/>
        <w:jc w:val="both"/>
        <w:rPr>
          <w:rFonts w:ascii="David" w:eastAsia="Times New Roman" w:hAnsi="David" w:cs="David"/>
          <w:color w:val="000000"/>
          <w:sz w:val="24"/>
          <w:szCs w:val="24"/>
        </w:rPr>
      </w:pPr>
      <w:r w:rsidRPr="007709B9">
        <w:rPr>
          <w:rFonts w:ascii="David" w:eastAsia="Times New Roman" w:hAnsi="David" w:cs="David"/>
          <w:color w:val="000000"/>
          <w:sz w:val="24"/>
          <w:szCs w:val="24"/>
          <w:rtl/>
        </w:rPr>
        <w:t>התובעת לא הבהירה מה השתנה ביחסים בינה לבין הוריה עובר להגשת התביעה שלפתע פתאום נמצאו בה הכוחות להגיש תובענה זו נגד אביה</w:t>
      </w:r>
      <w:r w:rsidR="007709B9">
        <w:rPr>
          <w:rFonts w:ascii="David" w:eastAsia="Times New Roman" w:hAnsi="David" w:cs="David" w:hint="cs"/>
          <w:color w:val="000000"/>
          <w:sz w:val="24"/>
          <w:szCs w:val="24"/>
          <w:rtl/>
        </w:rPr>
        <w:t>, זולת אמירה כללית כי היא טופלה וכעת כוחותיה עומדים לה</w:t>
      </w:r>
      <w:r w:rsidRPr="007709B9">
        <w:rPr>
          <w:rFonts w:ascii="David" w:eastAsia="Times New Roman" w:hAnsi="David" w:cs="David"/>
          <w:color w:val="000000"/>
          <w:sz w:val="24"/>
          <w:szCs w:val="24"/>
          <w:rtl/>
        </w:rPr>
        <w:t>.</w:t>
      </w:r>
    </w:p>
    <w:p w:rsidR="007709B9" w:rsidRPr="00346F2E" w:rsidRDefault="007709B9" w:rsidP="007709B9">
      <w:pPr>
        <w:pStyle w:val="af0"/>
        <w:rPr>
          <w:rFonts w:ascii="David" w:eastAsia="Times New Roman" w:hAnsi="David" w:cs="David"/>
          <w:color w:val="000000"/>
          <w:sz w:val="16"/>
          <w:szCs w:val="16"/>
          <w:rtl/>
        </w:rPr>
      </w:pPr>
    </w:p>
    <w:p w:rsidR="0058702E" w:rsidRPr="00346F2E" w:rsidRDefault="007709B9" w:rsidP="007709B9">
      <w:pPr>
        <w:pStyle w:val="af0"/>
        <w:numPr>
          <w:ilvl w:val="0"/>
          <w:numId w:val="1"/>
        </w:numPr>
        <w:spacing w:after="0" w:line="330" w:lineRule="atLeast"/>
        <w:ind w:left="567" w:hanging="567"/>
        <w:jc w:val="both"/>
        <w:rPr>
          <w:rFonts w:ascii="David" w:eastAsia="Times New Roman" w:hAnsi="David" w:cs="David"/>
          <w:color w:val="000000"/>
          <w:sz w:val="24"/>
          <w:szCs w:val="24"/>
        </w:rPr>
      </w:pPr>
      <w:r>
        <w:rPr>
          <w:rFonts w:ascii="David" w:hAnsi="David" w:cs="David" w:hint="cs"/>
          <w:sz w:val="24"/>
          <w:szCs w:val="24"/>
          <w:rtl/>
        </w:rPr>
        <w:t>חשוב לזכור כי ה</w:t>
      </w:r>
      <w:r w:rsidR="0058702E" w:rsidRPr="007709B9">
        <w:rPr>
          <w:rFonts w:ascii="David" w:hAnsi="David" w:cs="David"/>
          <w:sz w:val="24"/>
          <w:szCs w:val="24"/>
          <w:rtl/>
        </w:rPr>
        <w:t xml:space="preserve">צו ניתן בשנת 2005, </w:t>
      </w:r>
      <w:r>
        <w:rPr>
          <w:rFonts w:ascii="David" w:hAnsi="David" w:cs="David" w:hint="cs"/>
          <w:sz w:val="24"/>
          <w:szCs w:val="24"/>
          <w:u w:val="single"/>
          <w:rtl/>
        </w:rPr>
        <w:t>כ 16 שנים</w:t>
      </w:r>
      <w:r w:rsidR="0058702E" w:rsidRPr="007709B9">
        <w:rPr>
          <w:rFonts w:ascii="David" w:hAnsi="David" w:cs="David"/>
          <w:sz w:val="24"/>
          <w:szCs w:val="24"/>
          <w:rtl/>
        </w:rPr>
        <w:t xml:space="preserve"> </w:t>
      </w:r>
      <w:r>
        <w:rPr>
          <w:rFonts w:ascii="David" w:hAnsi="David" w:cs="David" w:hint="cs"/>
          <w:sz w:val="24"/>
          <w:szCs w:val="24"/>
          <w:rtl/>
        </w:rPr>
        <w:t>טרם</w:t>
      </w:r>
      <w:r w:rsidR="0058702E" w:rsidRPr="007709B9">
        <w:rPr>
          <w:rFonts w:ascii="David" w:hAnsi="David" w:cs="David"/>
          <w:sz w:val="24"/>
          <w:szCs w:val="24"/>
          <w:rtl/>
        </w:rPr>
        <w:t xml:space="preserve"> הג</w:t>
      </w:r>
      <w:r>
        <w:rPr>
          <w:rFonts w:ascii="David" w:hAnsi="David" w:cs="David"/>
          <w:sz w:val="24"/>
          <w:szCs w:val="24"/>
          <w:rtl/>
        </w:rPr>
        <w:t xml:space="preserve">שת התובענה ומאז הנתבע הסתמך על </w:t>
      </w:r>
      <w:r>
        <w:rPr>
          <w:rFonts w:ascii="David" w:hAnsi="David" w:cs="David" w:hint="cs"/>
          <w:sz w:val="24"/>
          <w:szCs w:val="24"/>
          <w:rtl/>
        </w:rPr>
        <w:t xml:space="preserve">תוצאת הצו, </w:t>
      </w:r>
      <w:r w:rsidR="0058702E" w:rsidRPr="007709B9">
        <w:rPr>
          <w:rFonts w:ascii="David" w:hAnsi="David" w:cs="David"/>
          <w:sz w:val="24"/>
          <w:szCs w:val="24"/>
          <w:rtl/>
        </w:rPr>
        <w:t>פעל לפי</w:t>
      </w:r>
      <w:r>
        <w:rPr>
          <w:rFonts w:ascii="David" w:hAnsi="David" w:cs="David" w:hint="cs"/>
          <w:sz w:val="24"/>
          <w:szCs w:val="24"/>
          <w:rtl/>
        </w:rPr>
        <w:t>ו</w:t>
      </w:r>
      <w:r w:rsidR="0058702E" w:rsidRPr="007709B9">
        <w:rPr>
          <w:rFonts w:ascii="David" w:hAnsi="David" w:cs="David"/>
          <w:sz w:val="24"/>
          <w:szCs w:val="24"/>
          <w:rtl/>
        </w:rPr>
        <w:t xml:space="preserve"> וכלכל צעדיו בהתאם, לרבות סיוע כלכלי לתובעת ולאחיה, </w:t>
      </w:r>
      <w:r>
        <w:rPr>
          <w:rFonts w:ascii="David" w:hAnsi="David" w:cs="David" w:hint="cs"/>
          <w:sz w:val="24"/>
          <w:szCs w:val="24"/>
          <w:rtl/>
        </w:rPr>
        <w:t xml:space="preserve">ולפיכך, </w:t>
      </w:r>
      <w:r w:rsidR="0058702E" w:rsidRPr="007709B9">
        <w:rPr>
          <w:rFonts w:ascii="David" w:hAnsi="David" w:cs="David"/>
          <w:sz w:val="24"/>
          <w:szCs w:val="24"/>
          <w:rtl/>
        </w:rPr>
        <w:t>נדרשות נסיבות כבדות משקל שיהיה בהן להחזיר את הגלגל אחורה, ככל שהדבר אפשרי, וזאת לא מצאתי בנסיבות המקרה דנן</w:t>
      </w:r>
      <w:r>
        <w:rPr>
          <w:rFonts w:ascii="David" w:hAnsi="David" w:cs="David" w:hint="cs"/>
          <w:sz w:val="24"/>
          <w:szCs w:val="24"/>
          <w:rtl/>
        </w:rPr>
        <w:t xml:space="preserve"> ואף לא במידה קלושה</w:t>
      </w:r>
      <w:r w:rsidR="0058702E" w:rsidRPr="007709B9">
        <w:rPr>
          <w:rFonts w:ascii="David" w:hAnsi="David" w:cs="David"/>
          <w:sz w:val="24"/>
          <w:szCs w:val="24"/>
          <w:rtl/>
        </w:rPr>
        <w:t xml:space="preserve">. </w:t>
      </w:r>
    </w:p>
    <w:p w:rsidR="00346F2E" w:rsidRDefault="00346F2E" w:rsidP="00346F2E">
      <w:pPr>
        <w:pStyle w:val="af0"/>
        <w:spacing w:after="0" w:line="330" w:lineRule="atLeast"/>
        <w:ind w:left="567"/>
        <w:jc w:val="both"/>
        <w:rPr>
          <w:rFonts w:ascii="David" w:eastAsia="Times New Roman" w:hAnsi="David" w:cs="David"/>
          <w:color w:val="000000"/>
          <w:sz w:val="16"/>
          <w:szCs w:val="16"/>
          <w:rtl/>
        </w:rPr>
      </w:pPr>
    </w:p>
    <w:p w:rsidR="00346F2E" w:rsidRDefault="00346F2E" w:rsidP="00346F2E">
      <w:pPr>
        <w:pStyle w:val="af0"/>
        <w:spacing w:after="0" w:line="330" w:lineRule="atLeast"/>
        <w:ind w:left="567"/>
        <w:jc w:val="both"/>
        <w:rPr>
          <w:rFonts w:ascii="David" w:eastAsia="Times New Roman" w:hAnsi="David" w:cs="David"/>
          <w:color w:val="000000"/>
          <w:sz w:val="16"/>
          <w:szCs w:val="16"/>
          <w:rtl/>
        </w:rPr>
      </w:pPr>
    </w:p>
    <w:p w:rsidR="00346F2E" w:rsidRPr="00346F2E" w:rsidRDefault="00346F2E" w:rsidP="00346F2E">
      <w:pPr>
        <w:pStyle w:val="af0"/>
        <w:spacing w:after="0" w:line="330" w:lineRule="atLeast"/>
        <w:ind w:left="567"/>
        <w:jc w:val="both"/>
        <w:rPr>
          <w:rFonts w:ascii="David" w:eastAsia="Times New Roman" w:hAnsi="David" w:cs="David"/>
          <w:color w:val="000000"/>
          <w:sz w:val="16"/>
          <w:szCs w:val="16"/>
          <w:rtl/>
        </w:rPr>
      </w:pPr>
    </w:p>
    <w:p w:rsidR="0058702E" w:rsidRPr="000E199E" w:rsidRDefault="0058702E" w:rsidP="0058702E">
      <w:pPr>
        <w:pStyle w:val="af0"/>
        <w:rPr>
          <w:rFonts w:ascii="David" w:eastAsia="Times New Roman" w:hAnsi="David" w:cs="David"/>
          <w:color w:val="000000"/>
          <w:sz w:val="16"/>
          <w:szCs w:val="16"/>
        </w:rPr>
      </w:pPr>
    </w:p>
    <w:p w:rsidR="0058702E" w:rsidRDefault="0058702E" w:rsidP="000E199E">
      <w:pPr>
        <w:pStyle w:val="af0"/>
        <w:numPr>
          <w:ilvl w:val="0"/>
          <w:numId w:val="1"/>
        </w:numPr>
        <w:spacing w:line="360" w:lineRule="auto"/>
        <w:ind w:left="567" w:hanging="567"/>
        <w:jc w:val="both"/>
        <w:rPr>
          <w:rFonts w:ascii="David" w:eastAsia="Times New Roman" w:hAnsi="David" w:cs="David"/>
          <w:color w:val="000000"/>
          <w:sz w:val="24"/>
          <w:szCs w:val="24"/>
        </w:rPr>
      </w:pPr>
      <w:r w:rsidRPr="000E199E">
        <w:rPr>
          <w:rFonts w:ascii="David" w:eastAsia="Times New Roman" w:hAnsi="David" w:cs="David"/>
          <w:color w:val="000000"/>
          <w:sz w:val="24"/>
          <w:szCs w:val="24"/>
          <w:rtl/>
        </w:rPr>
        <w:lastRenderedPageBreak/>
        <w:t>בכתב התביעה, בתצהירה ובעדותה בפני תיארה התובעת באריכות רבה נרטיב לפיו במשך כל שנות ילדותה, ואף בבגרותה, נהג בה הנתבע (כמו גם בשני אחיה ובאמה) בכוחניות רבה ושלט בה כלכלית</w:t>
      </w:r>
      <w:r w:rsidR="00EE3DE6">
        <w:rPr>
          <w:rFonts w:ascii="David" w:eastAsia="Times New Roman" w:hAnsi="David" w:cs="David" w:hint="cs"/>
          <w:color w:val="000000"/>
          <w:sz w:val="24"/>
          <w:szCs w:val="24"/>
          <w:rtl/>
        </w:rPr>
        <w:t>,</w:t>
      </w:r>
      <w:r w:rsidRPr="000E199E">
        <w:rPr>
          <w:rFonts w:ascii="David" w:eastAsia="Times New Roman" w:hAnsi="David" w:cs="David"/>
          <w:color w:val="000000"/>
          <w:sz w:val="24"/>
          <w:szCs w:val="24"/>
          <w:rtl/>
        </w:rPr>
        <w:t xml:space="preserve"> אולם לא הבהירה כיצד מנע ממנה הנתבע להגיש תובענה זו במהלך השנים.</w:t>
      </w:r>
      <w:r>
        <w:rPr>
          <w:rtl/>
        </w:rPr>
        <w:t xml:space="preserve"> </w:t>
      </w:r>
      <w:r w:rsidRPr="000E199E">
        <w:rPr>
          <w:rFonts w:ascii="David" w:eastAsia="Times New Roman" w:hAnsi="David" w:cs="David"/>
          <w:color w:val="000000"/>
          <w:sz w:val="24"/>
          <w:szCs w:val="24"/>
          <w:rtl/>
        </w:rPr>
        <w:t>למעשה, טענת התובעת היא כי התנהגותו של הנתבע אל התובעת בילדותה ובנעוריה גרמה לתובעת מצב נפשי ורגשי קשה ומצבה זה הוא אשר מנע ממנה להגיש את התובענה קודם לכן.</w:t>
      </w:r>
      <w:r w:rsidR="000E199E">
        <w:rPr>
          <w:rFonts w:ascii="David" w:eastAsia="Times New Roman" w:hAnsi="David" w:cs="David" w:hint="cs"/>
          <w:color w:val="000000"/>
          <w:sz w:val="24"/>
          <w:szCs w:val="24"/>
          <w:rtl/>
        </w:rPr>
        <w:t xml:space="preserve"> </w:t>
      </w:r>
    </w:p>
    <w:p w:rsidR="000E199E" w:rsidRPr="000E199E" w:rsidRDefault="000E199E" w:rsidP="000E199E">
      <w:pPr>
        <w:pStyle w:val="af0"/>
        <w:rPr>
          <w:rFonts w:ascii="David" w:eastAsia="Times New Roman" w:hAnsi="David" w:cs="David"/>
          <w:color w:val="000000"/>
          <w:sz w:val="16"/>
          <w:szCs w:val="16"/>
          <w:rtl/>
        </w:rPr>
      </w:pPr>
    </w:p>
    <w:p w:rsidR="000E199E" w:rsidRDefault="000E199E" w:rsidP="000E199E">
      <w:pPr>
        <w:pStyle w:val="af0"/>
        <w:numPr>
          <w:ilvl w:val="0"/>
          <w:numId w:val="1"/>
        </w:numPr>
        <w:spacing w:after="0" w:line="360" w:lineRule="auto"/>
        <w:ind w:left="567" w:hanging="567"/>
        <w:jc w:val="both"/>
        <w:rPr>
          <w:rFonts w:ascii="David" w:hAnsi="David" w:cs="David"/>
          <w:sz w:val="24"/>
          <w:szCs w:val="24"/>
        </w:rPr>
      </w:pPr>
      <w:r>
        <w:rPr>
          <w:rFonts w:ascii="David" w:hAnsi="David" w:cs="David" w:hint="cs"/>
          <w:sz w:val="24"/>
          <w:szCs w:val="24"/>
          <w:rtl/>
        </w:rPr>
        <w:t>חרף כל טענותיה החמורות כלפי אביה, אישרה בחקירתה הנגדית כי ברבות השנים קיבלה ממנו כספים, כי הוא שילם עבור גן פרטי עבור ילדיה עת שהו בחו"ל, כי פרע הלוואות שנטלה, העמיד לה מסגרת אשראי בנקאית וכו'. התובעת הרבתה לטעון כי הייתה נתונה לאלימות כלכלית מכיוונו של אביה, טענות שמצאתי אותן ריקות מכל תוכן ויותר חשוב, ריקות מכל רלוונטיות להליך שבפני.</w:t>
      </w:r>
    </w:p>
    <w:p w:rsidR="00D0331F" w:rsidRPr="00346F2E" w:rsidRDefault="00D0331F" w:rsidP="00D0331F">
      <w:pPr>
        <w:pStyle w:val="af0"/>
        <w:spacing w:after="0" w:line="360" w:lineRule="auto"/>
        <w:ind w:left="567"/>
        <w:jc w:val="both"/>
        <w:rPr>
          <w:rFonts w:ascii="David" w:hAnsi="David" w:cs="David"/>
          <w:sz w:val="16"/>
          <w:szCs w:val="16"/>
        </w:rPr>
      </w:pPr>
    </w:p>
    <w:p w:rsidR="0058702E" w:rsidRPr="000E199E" w:rsidRDefault="000E199E" w:rsidP="00346F2E">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מלבד השיהוי הכבד והבלתי סביר שבנקיטת ההליכים בהתאם לסעיף 72 לחוק, נזכיר גם את חוק ההתיישנות הקובע התיישנות בתביעה מסוג זה לאחר 7 שנים. אמנם, </w:t>
      </w:r>
      <w:r w:rsidR="0058702E">
        <w:rPr>
          <w:rFonts w:ascii="David" w:eastAsia="Times New Roman" w:hAnsi="David" w:cs="David"/>
          <w:color w:val="000000"/>
          <w:sz w:val="24"/>
          <w:szCs w:val="24"/>
          <w:rtl/>
        </w:rPr>
        <w:t xml:space="preserve">סעיף 8 לחוק ההתיישנות </w:t>
      </w:r>
      <w:r>
        <w:rPr>
          <w:rFonts w:ascii="David" w:eastAsia="Times New Roman" w:hAnsi="David" w:cs="David" w:hint="cs"/>
          <w:color w:val="000000"/>
          <w:sz w:val="24"/>
          <w:szCs w:val="24"/>
          <w:rtl/>
        </w:rPr>
        <w:t>ה</w:t>
      </w:r>
      <w:r w:rsidR="0058702E">
        <w:rPr>
          <w:rFonts w:ascii="David" w:eastAsia="Times New Roman" w:hAnsi="David" w:cs="David"/>
          <w:color w:val="000000"/>
          <w:sz w:val="24"/>
          <w:szCs w:val="24"/>
          <w:rtl/>
        </w:rPr>
        <w:t xml:space="preserve">קובע כי </w:t>
      </w:r>
      <w:r w:rsidR="0058702E">
        <w:rPr>
          <w:rFonts w:ascii="David" w:hAnsi="David" w:cs="David"/>
          <w:color w:val="000000"/>
          <w:sz w:val="24"/>
          <w:szCs w:val="24"/>
          <w:shd w:val="clear" w:color="auto" w:fill="FFFFFF"/>
          <w:rtl/>
        </w:rPr>
        <w:t>"</w:t>
      </w:r>
      <w:r w:rsidR="0058702E">
        <w:rPr>
          <w:rFonts w:ascii="David" w:hAnsi="David" w:cs="David"/>
          <w:b/>
          <w:bCs/>
          <w:color w:val="000000"/>
          <w:sz w:val="24"/>
          <w:szCs w:val="24"/>
          <w:shd w:val="clear" w:color="auto" w:fill="FFFFFF"/>
          <w:rtl/>
        </w:rPr>
        <w:t>נעלמו מן התובע העובדות המהוות את עילת התובענה, מסיבות שלא היו תלויות בו ושאף בזהירות סבירה לא יכול היה למנוע אותן, תתחיל תקופת ההתיישנות ביום שבו נודעו לתובע עובדות אלה</w:t>
      </w:r>
      <w:r w:rsidR="0058702E">
        <w:rPr>
          <w:rFonts w:ascii="David" w:eastAsia="Times New Roman" w:hAnsi="David" w:cs="David"/>
          <w:color w:val="000000"/>
          <w:sz w:val="24"/>
          <w:szCs w:val="24"/>
          <w:rtl/>
        </w:rPr>
        <w:t>"</w:t>
      </w:r>
      <w:r>
        <w:rPr>
          <w:rFonts w:ascii="David" w:eastAsia="Times New Roman" w:hAnsi="David" w:cs="David" w:hint="cs"/>
          <w:color w:val="000000"/>
          <w:sz w:val="24"/>
          <w:szCs w:val="24"/>
          <w:rtl/>
        </w:rPr>
        <w:t xml:space="preserve"> ואולם </w:t>
      </w:r>
      <w:r w:rsidR="0058702E" w:rsidRPr="000E199E">
        <w:rPr>
          <w:rFonts w:ascii="David" w:eastAsia="Times New Roman" w:hAnsi="David" w:cs="David"/>
          <w:color w:val="000000"/>
          <w:sz w:val="24"/>
          <w:szCs w:val="24"/>
          <w:rtl/>
        </w:rPr>
        <w:t xml:space="preserve">משעילת התובענה מסתמכת על נסיבות חתימת התצהיר, לא יכולה התובעת לטעון כי נעלמו ממנה העובדות המהוות את עילת התובענה. </w:t>
      </w:r>
    </w:p>
    <w:p w:rsidR="0058702E" w:rsidRPr="00D0331F" w:rsidRDefault="0058702E" w:rsidP="0058702E">
      <w:pPr>
        <w:pStyle w:val="af0"/>
        <w:spacing w:line="360" w:lineRule="auto"/>
        <w:ind w:left="567"/>
        <w:jc w:val="both"/>
        <w:rPr>
          <w:rFonts w:ascii="David" w:eastAsia="Times New Roman" w:hAnsi="David" w:cs="David"/>
          <w:color w:val="000000"/>
          <w:sz w:val="16"/>
          <w:szCs w:val="16"/>
          <w:rtl/>
        </w:rPr>
      </w:pPr>
    </w:p>
    <w:p w:rsidR="0058702E" w:rsidRDefault="00346F2E" w:rsidP="00346F2E">
      <w:pPr>
        <w:pStyle w:val="af0"/>
        <w:numPr>
          <w:ilvl w:val="0"/>
          <w:numId w:val="1"/>
        </w:numPr>
        <w:spacing w:line="330" w:lineRule="atLeast"/>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אף מסעיף 9 לחוק ההתיישנות לא תבוא ישועתה של התובעת, שכן סעיף זה קובע כי:</w:t>
      </w:r>
      <w:r w:rsidR="0058702E" w:rsidRPr="00D0331F">
        <w:rPr>
          <w:rFonts w:ascii="David" w:eastAsia="Times New Roman" w:hAnsi="David" w:cs="David"/>
          <w:color w:val="000000"/>
          <w:sz w:val="24"/>
          <w:szCs w:val="24"/>
          <w:rtl/>
        </w:rPr>
        <w:t xml:space="preserve"> </w:t>
      </w:r>
      <w:r w:rsidR="0058702E" w:rsidRPr="00D0331F">
        <w:rPr>
          <w:rFonts w:ascii="David" w:eastAsia="Times New Roman" w:hAnsi="David" w:cs="David"/>
          <w:b/>
          <w:bCs/>
          <w:color w:val="000000"/>
          <w:sz w:val="24"/>
          <w:szCs w:val="24"/>
          <w:rtl/>
        </w:rPr>
        <w:t>"</w:t>
      </w:r>
      <w:r w:rsidR="0058702E" w:rsidRPr="00D0331F">
        <w:rPr>
          <w:rFonts w:ascii="David" w:hAnsi="David" w:cs="David"/>
          <w:b/>
          <w:bCs/>
          <w:color w:val="000000"/>
          <w:sz w:val="24"/>
          <w:szCs w:val="24"/>
          <w:shd w:val="clear" w:color="auto" w:fill="FFFFFF"/>
          <w:rtl/>
        </w:rPr>
        <w:t>הודה הנתבע, בכתב או בפני בית משפט, בין בתוך תקופת ההתיישנות ובין לאחריה, בקיום זכות התובע, תתחיל תקופת ההתיישנות מיום ההודאה; ומעשה שיש בו משום ביצוע מקצת הזכות, דינו כהודאה לענין סעיף זה</w:t>
      </w:r>
      <w:r w:rsidR="00D0331F" w:rsidRPr="00D0331F">
        <w:rPr>
          <w:rFonts w:ascii="David" w:eastAsia="Times New Roman" w:hAnsi="David" w:cs="David" w:hint="cs"/>
          <w:color w:val="000000"/>
          <w:sz w:val="24"/>
          <w:szCs w:val="24"/>
          <w:rtl/>
        </w:rPr>
        <w:t xml:space="preserve">". </w:t>
      </w:r>
      <w:r w:rsidR="0058702E" w:rsidRPr="00D0331F">
        <w:rPr>
          <w:rFonts w:ascii="David" w:eastAsia="Times New Roman" w:hAnsi="David" w:cs="David"/>
          <w:color w:val="000000"/>
          <w:sz w:val="24"/>
          <w:szCs w:val="24"/>
          <w:rtl/>
        </w:rPr>
        <w:t xml:space="preserve">לטענת התובעת, הנתבע הודה בזכותה לקבלת חלקה בעיזבון המנוח אך לאחרונה ועל כן יש למנות את תקופת ההתיישנות ממועד ההודאה. </w:t>
      </w:r>
    </w:p>
    <w:p w:rsidR="00D0331F" w:rsidRPr="00EE3DE6" w:rsidRDefault="00D0331F" w:rsidP="00D0331F">
      <w:pPr>
        <w:pStyle w:val="af0"/>
        <w:spacing w:line="330" w:lineRule="atLeast"/>
        <w:ind w:left="567"/>
        <w:jc w:val="both"/>
        <w:rPr>
          <w:rFonts w:ascii="David" w:eastAsia="Times New Roman" w:hAnsi="David" w:cs="David"/>
          <w:color w:val="000000"/>
          <w:sz w:val="16"/>
          <w:szCs w:val="16"/>
          <w:rtl/>
        </w:rPr>
      </w:pPr>
    </w:p>
    <w:p w:rsidR="0058702E" w:rsidRPr="00346F2E" w:rsidRDefault="0058702E" w:rsidP="00D80559">
      <w:pPr>
        <w:pStyle w:val="af0"/>
        <w:numPr>
          <w:ilvl w:val="0"/>
          <w:numId w:val="1"/>
        </w:numPr>
        <w:spacing w:line="330" w:lineRule="atLeast"/>
        <w:ind w:left="567" w:hanging="567"/>
        <w:jc w:val="both"/>
        <w:rPr>
          <w:rFonts w:ascii="David" w:eastAsia="Times New Roman" w:hAnsi="David" w:cs="David"/>
          <w:color w:val="000000"/>
          <w:sz w:val="24"/>
          <w:szCs w:val="24"/>
          <w:rtl/>
        </w:rPr>
      </w:pPr>
      <w:r w:rsidRPr="00D0331F">
        <w:rPr>
          <w:rFonts w:ascii="David" w:eastAsia="Times New Roman" w:hAnsi="David" w:cs="David"/>
          <w:color w:val="000000"/>
          <w:sz w:val="24"/>
          <w:szCs w:val="24"/>
          <w:rtl/>
        </w:rPr>
        <w:t>וכך כתב הנתבע לתובעת ושני אחיה ביום 19.7.2020:</w:t>
      </w:r>
      <w:r w:rsidR="00D0331F" w:rsidRPr="00D0331F">
        <w:rPr>
          <w:rFonts w:ascii="David" w:eastAsia="Times New Roman" w:hAnsi="David" w:cs="David" w:hint="cs"/>
          <w:color w:val="000000"/>
          <w:sz w:val="24"/>
          <w:szCs w:val="24"/>
          <w:rtl/>
        </w:rPr>
        <w:t xml:space="preserve"> </w:t>
      </w:r>
      <w:r w:rsidRPr="00B57960">
        <w:rPr>
          <w:rFonts w:ascii="David" w:eastAsia="Times New Roman" w:hAnsi="David" w:cs="David"/>
          <w:b/>
          <w:bCs/>
          <w:color w:val="000000"/>
          <w:sz w:val="24"/>
          <w:szCs w:val="24"/>
          <w:rtl/>
        </w:rPr>
        <w:t xml:space="preserve">"... </w:t>
      </w:r>
      <w:r w:rsidR="00D80559">
        <w:rPr>
          <w:rFonts w:ascii="David" w:eastAsia="Times New Roman" w:hAnsi="David" w:cs="David" w:hint="cs"/>
          <w:b/>
          <w:bCs/>
          <w:color w:val="000000"/>
          <w:sz w:val="24"/>
          <w:szCs w:val="24"/>
          <w:rtl/>
        </w:rPr>
        <w:t xml:space="preserve">[התובעת] </w:t>
      </w:r>
      <w:r w:rsidRPr="00B57960">
        <w:rPr>
          <w:rFonts w:ascii="David" w:eastAsia="Times New Roman" w:hAnsi="David" w:cs="David"/>
          <w:b/>
          <w:bCs/>
          <w:color w:val="000000"/>
          <w:sz w:val="24"/>
          <w:szCs w:val="24"/>
          <w:rtl/>
        </w:rPr>
        <w:t>הבינה שחלקה בירושה של סבא היה עבור שלושתכם – האם אני צודק?</w:t>
      </w:r>
      <w:r w:rsidR="00D0331F" w:rsidRPr="00B57960">
        <w:rPr>
          <w:rFonts w:ascii="David" w:eastAsia="Times New Roman" w:hAnsi="David" w:cs="David" w:hint="cs"/>
          <w:b/>
          <w:bCs/>
          <w:color w:val="000000"/>
          <w:sz w:val="24"/>
          <w:szCs w:val="24"/>
          <w:rtl/>
        </w:rPr>
        <w:t xml:space="preserve"> </w:t>
      </w:r>
      <w:r w:rsidR="00D80559">
        <w:rPr>
          <w:rFonts w:ascii="David" w:eastAsia="Times New Roman" w:hAnsi="David" w:cs="David" w:hint="cs"/>
          <w:b/>
          <w:bCs/>
          <w:color w:val="000000"/>
          <w:sz w:val="24"/>
          <w:szCs w:val="24"/>
          <w:rtl/>
        </w:rPr>
        <w:t>[התובעת]</w:t>
      </w:r>
      <w:r w:rsidRPr="00B57960">
        <w:rPr>
          <w:rFonts w:ascii="David" w:eastAsia="Times New Roman" w:hAnsi="David" w:cs="David"/>
          <w:b/>
          <w:bCs/>
          <w:color w:val="000000"/>
          <w:sz w:val="24"/>
          <w:szCs w:val="24"/>
          <w:rtl/>
        </w:rPr>
        <w:t xml:space="preserve"> העלתה רצון להגיע לדירה/בית בסכום של מיליון וחצי ₪. </w:t>
      </w:r>
      <w:r w:rsidR="00D80559">
        <w:rPr>
          <w:rFonts w:ascii="David" w:eastAsia="Times New Roman" w:hAnsi="David" w:cs="David" w:hint="cs"/>
          <w:b/>
          <w:bCs/>
          <w:color w:val="000000"/>
          <w:sz w:val="24"/>
          <w:szCs w:val="24"/>
          <w:rtl/>
        </w:rPr>
        <w:t>[התובעת]</w:t>
      </w:r>
      <w:r w:rsidRPr="00B57960">
        <w:rPr>
          <w:rFonts w:ascii="David" w:eastAsia="Times New Roman" w:hAnsi="David" w:cs="David"/>
          <w:b/>
          <w:bCs/>
          <w:color w:val="000000"/>
          <w:sz w:val="24"/>
          <w:szCs w:val="24"/>
          <w:rtl/>
        </w:rPr>
        <w:t xml:space="preserve"> העלתה בית בכליל.</w:t>
      </w:r>
      <w:r w:rsidR="00D0331F" w:rsidRPr="00B57960">
        <w:rPr>
          <w:rFonts w:ascii="David" w:eastAsia="Times New Roman" w:hAnsi="David" w:cs="David" w:hint="cs"/>
          <w:b/>
          <w:bCs/>
          <w:color w:val="000000"/>
          <w:sz w:val="24"/>
          <w:szCs w:val="24"/>
          <w:rtl/>
        </w:rPr>
        <w:t xml:space="preserve"> </w:t>
      </w:r>
      <w:r w:rsidRPr="00B57960">
        <w:rPr>
          <w:rFonts w:ascii="David" w:eastAsia="Times New Roman" w:hAnsi="David" w:cs="David"/>
          <w:b/>
          <w:bCs/>
          <w:color w:val="000000"/>
          <w:sz w:val="24"/>
          <w:szCs w:val="24"/>
          <w:rtl/>
        </w:rPr>
        <w:t xml:space="preserve">אני התחייבתי בפניה שהיה תמצא דירה אני אתן לה חצי מערך הדירה/בית. כלומר 750,000 ₪ - סכום זה ילך כמו שהתחייבתי רק לבית ודירה ולא לשום דבר אחר. אני מתחייב להעביר אותו ישיר לקניה הזאת בלבד. כלומר זה חלקה בירושה וחלקכם. בזה כל הטענות שלכם נגדנו. ובטח של </w:t>
      </w:r>
      <w:r w:rsidR="00D80559">
        <w:rPr>
          <w:rFonts w:ascii="David" w:eastAsia="Times New Roman" w:hAnsi="David" w:cs="David" w:hint="cs"/>
          <w:b/>
          <w:bCs/>
          <w:color w:val="000000"/>
          <w:sz w:val="24"/>
          <w:szCs w:val="24"/>
          <w:rtl/>
        </w:rPr>
        <w:t>[התובעת]</w:t>
      </w:r>
      <w:r w:rsidRPr="00B57960">
        <w:rPr>
          <w:rFonts w:ascii="David" w:eastAsia="Times New Roman" w:hAnsi="David" w:cs="David"/>
          <w:b/>
          <w:bCs/>
          <w:color w:val="000000"/>
          <w:sz w:val="24"/>
          <w:szCs w:val="24"/>
          <w:rtl/>
        </w:rPr>
        <w:t>. מרגע זה ואילך הפרשה הזאת ירדה מהדיון לעולם ועד"</w:t>
      </w:r>
      <w:r w:rsidR="00D0331F">
        <w:rPr>
          <w:rFonts w:ascii="David" w:eastAsia="Times New Roman" w:hAnsi="David" w:cs="David" w:hint="cs"/>
          <w:color w:val="000000"/>
          <w:sz w:val="24"/>
          <w:szCs w:val="24"/>
          <w:rtl/>
        </w:rPr>
        <w:t>.</w:t>
      </w:r>
      <w:r w:rsidR="00346F2E">
        <w:rPr>
          <w:rFonts w:ascii="David" w:eastAsia="Times New Roman" w:hAnsi="David" w:cs="David" w:hint="cs"/>
          <w:color w:val="000000"/>
          <w:sz w:val="24"/>
          <w:szCs w:val="24"/>
          <w:rtl/>
        </w:rPr>
        <w:t xml:space="preserve"> </w:t>
      </w:r>
      <w:r w:rsidRPr="00346F2E">
        <w:rPr>
          <w:rFonts w:ascii="David" w:eastAsia="Times New Roman" w:hAnsi="David" w:cs="David"/>
          <w:color w:val="000000"/>
          <w:sz w:val="24"/>
          <w:szCs w:val="24"/>
          <w:rtl/>
        </w:rPr>
        <w:t>לטענת הנתבע אין במכתב זה כל הודאה בקיום זכות כלשהי ל</w:t>
      </w:r>
      <w:r w:rsidR="00D07486">
        <w:rPr>
          <w:rFonts w:ascii="David" w:eastAsia="Times New Roman" w:hAnsi="David" w:cs="David" w:hint="cs"/>
          <w:color w:val="000000"/>
          <w:sz w:val="24"/>
          <w:szCs w:val="24"/>
          <w:rtl/>
        </w:rPr>
        <w:t>תובעת</w:t>
      </w:r>
      <w:r w:rsidRPr="00346F2E">
        <w:rPr>
          <w:rFonts w:ascii="David" w:eastAsia="Times New Roman" w:hAnsi="David" w:cs="David"/>
          <w:color w:val="000000"/>
          <w:sz w:val="24"/>
          <w:szCs w:val="24"/>
          <w:rtl/>
        </w:rPr>
        <w:t xml:space="preserve"> או בטענות כלשהן של התובעת. הנתבע אינו חב לתובעת דבר והוא היה מוכן לסייע לתובעת לקנות דירה/בית מרצונו הטוב ולמטרת שלום בית.</w:t>
      </w:r>
    </w:p>
    <w:p w:rsidR="00346F2E" w:rsidRPr="00D0331F" w:rsidRDefault="00346F2E" w:rsidP="0058702E">
      <w:pPr>
        <w:pStyle w:val="af0"/>
        <w:spacing w:line="360" w:lineRule="auto"/>
        <w:ind w:left="567"/>
        <w:jc w:val="both"/>
        <w:rPr>
          <w:rFonts w:ascii="David" w:eastAsia="Times New Roman" w:hAnsi="David" w:cs="David"/>
          <w:color w:val="000000"/>
          <w:sz w:val="16"/>
          <w:szCs w:val="16"/>
        </w:rPr>
      </w:pPr>
    </w:p>
    <w:p w:rsidR="00346F2E" w:rsidRDefault="00EE3DE6" w:rsidP="00EE3DE6">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לאחר שבחנתי את המכתב, אני בדעה כי </w:t>
      </w:r>
      <w:r w:rsidR="0058702E">
        <w:rPr>
          <w:rFonts w:ascii="David" w:eastAsia="Times New Roman" w:hAnsi="David" w:cs="David"/>
          <w:color w:val="000000"/>
          <w:sz w:val="24"/>
          <w:szCs w:val="24"/>
          <w:rtl/>
        </w:rPr>
        <w:t xml:space="preserve">אין בו לסייע לתובעת ולהאריך את תקופת ההתיישנות. התביעה דנן היא תביעה לביטול צו קיום הצוואה שניתן אחר המנוח כפועל יוצא מביטול תצהיר ההסתלקות עליו חתמה התובעת. </w:t>
      </w:r>
    </w:p>
    <w:p w:rsidR="00346F2E" w:rsidRPr="00346F2E" w:rsidRDefault="00346F2E" w:rsidP="00346F2E">
      <w:pPr>
        <w:pStyle w:val="af0"/>
        <w:rPr>
          <w:rFonts w:ascii="David" w:eastAsia="Times New Roman" w:hAnsi="David" w:cs="David"/>
          <w:color w:val="000000"/>
          <w:sz w:val="24"/>
          <w:szCs w:val="24"/>
          <w:rtl/>
        </w:rPr>
      </w:pPr>
    </w:p>
    <w:p w:rsidR="0058702E" w:rsidRDefault="00346F2E" w:rsidP="00EE3DE6">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lastRenderedPageBreak/>
        <w:t>ל</w:t>
      </w:r>
      <w:r w:rsidR="0058702E">
        <w:rPr>
          <w:rFonts w:ascii="David" w:eastAsia="Times New Roman" w:hAnsi="David" w:cs="David"/>
          <w:color w:val="000000"/>
          <w:sz w:val="24"/>
          <w:szCs w:val="24"/>
          <w:rtl/>
        </w:rPr>
        <w:t>פיכך, גם אם ניתן לראות במכתבו של הנתבע כ</w:t>
      </w:r>
      <w:r>
        <w:rPr>
          <w:rFonts w:ascii="David" w:eastAsia="Times New Roman" w:hAnsi="David" w:cs="David" w:hint="cs"/>
          <w:color w:val="000000"/>
          <w:sz w:val="24"/>
          <w:szCs w:val="24"/>
          <w:rtl/>
        </w:rPr>
        <w:t>'</w:t>
      </w:r>
      <w:r w:rsidR="0058702E">
        <w:rPr>
          <w:rFonts w:ascii="David" w:eastAsia="Times New Roman" w:hAnsi="David" w:cs="David"/>
          <w:color w:val="000000"/>
          <w:sz w:val="24"/>
          <w:szCs w:val="24"/>
          <w:rtl/>
        </w:rPr>
        <w:t>הודאה</w:t>
      </w:r>
      <w:r>
        <w:rPr>
          <w:rFonts w:ascii="David" w:eastAsia="Times New Roman" w:hAnsi="David" w:cs="David" w:hint="cs"/>
          <w:color w:val="000000"/>
          <w:sz w:val="24"/>
          <w:szCs w:val="24"/>
          <w:rtl/>
        </w:rPr>
        <w:t>'</w:t>
      </w:r>
      <w:r w:rsidR="0058702E">
        <w:rPr>
          <w:rFonts w:ascii="David" w:eastAsia="Times New Roman" w:hAnsi="David" w:cs="David"/>
          <w:color w:val="000000"/>
          <w:sz w:val="24"/>
          <w:szCs w:val="24"/>
          <w:rtl/>
        </w:rPr>
        <w:t xml:space="preserve"> בכך שהוא חייב לתובעת סך של כ – 750,000 ₪ </w:t>
      </w:r>
      <w:r>
        <w:rPr>
          <w:rFonts w:ascii="David" w:eastAsia="Times New Roman" w:hAnsi="David" w:cs="David" w:hint="cs"/>
          <w:color w:val="000000"/>
          <w:sz w:val="24"/>
          <w:szCs w:val="24"/>
          <w:rtl/>
        </w:rPr>
        <w:t xml:space="preserve">בגין </w:t>
      </w:r>
      <w:r w:rsidR="0058702E">
        <w:rPr>
          <w:rFonts w:ascii="David" w:eastAsia="Times New Roman" w:hAnsi="David" w:cs="David"/>
          <w:color w:val="000000"/>
          <w:sz w:val="24"/>
          <w:szCs w:val="24"/>
          <w:rtl/>
        </w:rPr>
        <w:t>חלקה בעיזבון ו</w:t>
      </w:r>
      <w:r>
        <w:rPr>
          <w:rFonts w:ascii="David" w:eastAsia="Times New Roman" w:hAnsi="David" w:cs="David" w:hint="cs"/>
          <w:color w:val="000000"/>
          <w:sz w:val="24"/>
          <w:szCs w:val="24"/>
          <w:rtl/>
        </w:rPr>
        <w:t xml:space="preserve">תמורת </w:t>
      </w:r>
      <w:r w:rsidR="0058702E">
        <w:rPr>
          <w:rFonts w:ascii="David" w:eastAsia="Times New Roman" w:hAnsi="David" w:cs="David"/>
          <w:color w:val="000000"/>
          <w:sz w:val="24"/>
          <w:szCs w:val="24"/>
          <w:rtl/>
        </w:rPr>
        <w:t>הסתלקותה מהצוואה, אין "הודאת הנתבע" ככל ומדובר בהודאה, רלוונטית לעניין מועד הגשת הבקשה לביטול צו הקיום שכן הדגש במסגרת סעיף 72 לחוק הירושה הוא על הסיבה לשיהוי בהגשת הבקשה לביטול צו הקיום</w:t>
      </w:r>
      <w:r w:rsidR="00D45626">
        <w:rPr>
          <w:rFonts w:ascii="David" w:eastAsia="Times New Roman" w:hAnsi="David" w:cs="David" w:hint="cs"/>
          <w:color w:val="000000"/>
          <w:sz w:val="24"/>
          <w:szCs w:val="24"/>
          <w:rtl/>
        </w:rPr>
        <w:t xml:space="preserve">. </w:t>
      </w:r>
      <w:r w:rsidR="0058702E">
        <w:rPr>
          <w:rFonts w:ascii="David" w:eastAsia="Times New Roman" w:hAnsi="David" w:cs="David"/>
          <w:color w:val="000000"/>
          <w:sz w:val="24"/>
          <w:szCs w:val="24"/>
          <w:rtl/>
        </w:rPr>
        <w:t xml:space="preserve">לו הייתה התובעת תובעת סעד כספי אזי </w:t>
      </w:r>
      <w:r w:rsidR="00EE3DE6">
        <w:rPr>
          <w:rFonts w:ascii="David" w:eastAsia="Times New Roman" w:hAnsi="David" w:cs="David" w:hint="cs"/>
          <w:color w:val="000000"/>
          <w:sz w:val="24"/>
          <w:szCs w:val="24"/>
          <w:rtl/>
        </w:rPr>
        <w:t>ייתכן ו</w:t>
      </w:r>
      <w:r w:rsidR="0058702E">
        <w:rPr>
          <w:rFonts w:ascii="David" w:eastAsia="Times New Roman" w:hAnsi="David" w:cs="David"/>
          <w:color w:val="000000"/>
          <w:sz w:val="24"/>
          <w:szCs w:val="24"/>
          <w:rtl/>
        </w:rPr>
        <w:t>היה מקום לבחון האם אכן מדובר בהודאה בדבר זכותה של התובעת לקבלת סעד כספי והאם יש למנות את תקופת ההתיישנות ממועד זה.</w:t>
      </w:r>
    </w:p>
    <w:p w:rsidR="00D45626" w:rsidRPr="00346F2E" w:rsidRDefault="00D45626" w:rsidP="00D45626">
      <w:pPr>
        <w:pStyle w:val="af0"/>
        <w:rPr>
          <w:rFonts w:ascii="David" w:eastAsia="Times New Roman" w:hAnsi="David" w:cs="David"/>
          <w:color w:val="000000"/>
          <w:sz w:val="16"/>
          <w:szCs w:val="16"/>
          <w:rtl/>
        </w:rPr>
      </w:pPr>
    </w:p>
    <w:p w:rsidR="00D202A8" w:rsidRPr="00D45626" w:rsidRDefault="00D45626" w:rsidP="00D45626">
      <w:pPr>
        <w:pStyle w:val="af0"/>
        <w:numPr>
          <w:ilvl w:val="0"/>
          <w:numId w:val="1"/>
        </w:numPr>
        <w:spacing w:line="360" w:lineRule="auto"/>
        <w:ind w:left="567" w:hanging="567"/>
        <w:jc w:val="both"/>
        <w:rPr>
          <w:rFonts w:ascii="David" w:eastAsia="Times New Roman" w:hAnsi="David" w:cs="David"/>
          <w:color w:val="000000"/>
          <w:sz w:val="24"/>
          <w:szCs w:val="24"/>
          <w:rtl/>
        </w:rPr>
      </w:pPr>
      <w:r w:rsidRPr="00D45626">
        <w:rPr>
          <w:rFonts w:ascii="David" w:eastAsia="Times New Roman" w:hAnsi="David" w:cs="David"/>
          <w:color w:val="000000"/>
          <w:sz w:val="24"/>
          <w:szCs w:val="24"/>
          <w:rtl/>
        </w:rPr>
        <w:t xml:space="preserve">למעלה מן הצורך, אזכיר כי רק לאחרונה שב בית המשפט העליון על הזהירות שיש לנקוט עת מבקשים לעשות שימוש בסעיף 9 לחוק ההתיישנות, לאמור: </w:t>
      </w:r>
      <w:r w:rsidRPr="00D45626">
        <w:rPr>
          <w:rFonts w:ascii="David" w:eastAsia="Times New Roman" w:hAnsi="David" w:cs="David"/>
          <w:b/>
          <w:bCs/>
          <w:color w:val="000000"/>
          <w:sz w:val="24"/>
          <w:szCs w:val="24"/>
          <w:rtl/>
        </w:rPr>
        <w:t>"...</w:t>
      </w:r>
      <w:r w:rsidRPr="00D45626">
        <w:rPr>
          <w:rFonts w:ascii="David" w:hAnsi="David" w:cs="David"/>
          <w:b/>
          <w:bCs/>
          <w:sz w:val="24"/>
          <w:szCs w:val="24"/>
          <w:rtl/>
        </w:rPr>
        <w:t xml:space="preserve"> כפי שהובהר בפסיקה, על מנת להיכנס בגדרו של הסעיף על ההודאה להיות "מפורשת ומלאה", ולכלול לא רק הודאה בקיום העובדות הנדרשות לביסוס הזכות, אלא גם הודאה בקיום הזכות עצמה... בנוסף, בהקשר קרוב, הובהר בפסיקה כי "</w:t>
      </w:r>
      <w:r w:rsidRPr="00D45626">
        <w:rPr>
          <w:rFonts w:ascii="David" w:hAnsi="David" w:cs="David"/>
          <w:b/>
          <w:bCs/>
          <w:color w:val="000000"/>
          <w:sz w:val="24"/>
          <w:szCs w:val="24"/>
          <w:rtl/>
        </w:rPr>
        <w:t>הצעת פשרה כשמה כן היא, אינה הודאה בזכות, אלא הצעה לצרכי פשרה</w:t>
      </w:r>
      <w:r w:rsidRPr="00D45626">
        <w:rPr>
          <w:rFonts w:ascii="David" w:hAnsi="David" w:cs="David"/>
          <w:b/>
          <w:bCs/>
          <w:sz w:val="24"/>
          <w:szCs w:val="24"/>
          <w:rtl/>
        </w:rPr>
        <w:t>"; וכי ככלל, מסמך שמועבר בין צדדים במסגרת משא ומתן לא ייחשב כהודאה לצורך סעיף 9 לחוק, שאם לא כן ייווצר אפקט מצנן כלפי ניסיונות להגיע לפשרה..</w:t>
      </w:r>
      <w:r w:rsidRPr="00D45626">
        <w:rPr>
          <w:rFonts w:ascii="David" w:hAnsi="David" w:cs="David"/>
          <w:b/>
          <w:bCs/>
          <w:color w:val="000000"/>
          <w:sz w:val="24"/>
          <w:szCs w:val="24"/>
        </w:rPr>
        <w:t xml:space="preserve">" </w:t>
      </w:r>
      <w:r w:rsidRPr="00D45626">
        <w:rPr>
          <w:rFonts w:ascii="David" w:hAnsi="David" w:cs="David"/>
          <w:color w:val="000000"/>
          <w:sz w:val="24"/>
          <w:szCs w:val="24"/>
          <w:rtl/>
        </w:rPr>
        <w:t xml:space="preserve">(ר' ע"א </w:t>
      </w:r>
      <w:r w:rsidRPr="00D45626">
        <w:rPr>
          <w:rFonts w:ascii="David" w:hAnsi="David" w:cs="David"/>
          <w:sz w:val="24"/>
          <w:szCs w:val="24"/>
          <w:rtl/>
        </w:rPr>
        <w:t xml:space="preserve">595/23 </w:t>
      </w:r>
      <w:r w:rsidRPr="00D45626">
        <w:rPr>
          <w:rFonts w:ascii="David" w:hAnsi="David" w:cs="David"/>
          <w:b/>
          <w:bCs/>
          <w:sz w:val="24"/>
          <w:szCs w:val="24"/>
          <w:rtl/>
        </w:rPr>
        <w:t>בר עידן נ' מועצה מקומית שפיר</w:t>
      </w:r>
      <w:r w:rsidRPr="00D45626">
        <w:rPr>
          <w:rFonts w:ascii="David" w:hAnsi="David" w:cs="David"/>
          <w:sz w:val="24"/>
          <w:szCs w:val="24"/>
          <w:rtl/>
        </w:rPr>
        <w:t xml:space="preserve"> (נבו, 28.2.23), פסקה 22</w:t>
      </w:r>
      <w:r>
        <w:rPr>
          <w:rFonts w:ascii="David" w:hAnsi="David" w:cs="David" w:hint="cs"/>
          <w:sz w:val="24"/>
          <w:szCs w:val="24"/>
          <w:rtl/>
        </w:rPr>
        <w:t xml:space="preserve"> לפסק הדין</w:t>
      </w:r>
      <w:r w:rsidRPr="00D45626">
        <w:rPr>
          <w:rFonts w:ascii="David" w:hAnsi="David" w:cs="David"/>
          <w:sz w:val="24"/>
          <w:szCs w:val="24"/>
          <w:rtl/>
        </w:rPr>
        <w:t>).</w:t>
      </w:r>
    </w:p>
    <w:p w:rsidR="0058702E" w:rsidRPr="00346F2E" w:rsidRDefault="0058702E" w:rsidP="0058702E">
      <w:pPr>
        <w:pStyle w:val="af0"/>
        <w:rPr>
          <w:rFonts w:ascii="David" w:eastAsia="Times New Roman" w:hAnsi="David" w:cs="David"/>
          <w:color w:val="000000"/>
          <w:sz w:val="16"/>
          <w:szCs w:val="16"/>
        </w:rPr>
      </w:pPr>
    </w:p>
    <w:p w:rsidR="0058702E" w:rsidRPr="00724362" w:rsidRDefault="00D45626" w:rsidP="00724362">
      <w:pPr>
        <w:pStyle w:val="af0"/>
        <w:numPr>
          <w:ilvl w:val="0"/>
          <w:numId w:val="1"/>
        </w:numPr>
        <w:spacing w:line="360" w:lineRule="auto"/>
        <w:ind w:left="567" w:hanging="567"/>
        <w:jc w:val="both"/>
        <w:rPr>
          <w:rFonts w:ascii="David" w:eastAsia="Times New Roman" w:hAnsi="David" w:cs="David"/>
          <w:sz w:val="24"/>
          <w:szCs w:val="24"/>
        </w:rPr>
      </w:pPr>
      <w:r>
        <w:rPr>
          <w:rFonts w:ascii="David" w:eastAsia="Times New Roman" w:hAnsi="David" w:cs="David" w:hint="cs"/>
          <w:color w:val="000000"/>
          <w:sz w:val="24"/>
          <w:szCs w:val="24"/>
          <w:rtl/>
        </w:rPr>
        <w:t xml:space="preserve">גם הוראת סעיף 11 </w:t>
      </w:r>
      <w:r w:rsidR="0058702E">
        <w:rPr>
          <w:rFonts w:ascii="David" w:eastAsia="Times New Roman" w:hAnsi="David" w:cs="David"/>
          <w:color w:val="000000"/>
          <w:sz w:val="24"/>
          <w:szCs w:val="24"/>
          <w:rtl/>
        </w:rPr>
        <w:t xml:space="preserve">לחוק ההתיישנות </w:t>
      </w:r>
      <w:r>
        <w:rPr>
          <w:rFonts w:ascii="David" w:eastAsia="Times New Roman" w:hAnsi="David" w:cs="David" w:hint="cs"/>
          <w:color w:val="000000"/>
          <w:sz w:val="24"/>
          <w:szCs w:val="24"/>
          <w:rtl/>
        </w:rPr>
        <w:t xml:space="preserve">אין בה לסייע לתובעת, שכן נקבע </w:t>
      </w:r>
      <w:r w:rsidR="00EE3DE6">
        <w:rPr>
          <w:rFonts w:ascii="David" w:eastAsia="Times New Roman" w:hAnsi="David" w:cs="David" w:hint="cs"/>
          <w:color w:val="000000"/>
          <w:sz w:val="24"/>
          <w:szCs w:val="24"/>
          <w:rtl/>
        </w:rPr>
        <w:t>ב</w:t>
      </w:r>
      <w:r w:rsidR="00D80559">
        <w:rPr>
          <w:rFonts w:ascii="David" w:eastAsia="Times New Roman" w:hAnsi="David" w:cs="David" w:hint="cs"/>
          <w:color w:val="000000"/>
          <w:sz w:val="24"/>
          <w:szCs w:val="24"/>
          <w:rtl/>
        </w:rPr>
        <w:t>ה</w:t>
      </w:r>
      <w:r w:rsidR="00EE3DE6">
        <w:rPr>
          <w:rFonts w:ascii="David" w:eastAsia="Times New Roman" w:hAnsi="David" w:cs="David" w:hint="cs"/>
          <w:color w:val="000000"/>
          <w:sz w:val="24"/>
          <w:szCs w:val="24"/>
          <w:rtl/>
        </w:rPr>
        <w:t xml:space="preserve"> </w:t>
      </w:r>
      <w:r>
        <w:rPr>
          <w:rFonts w:ascii="David" w:eastAsia="Times New Roman" w:hAnsi="David" w:cs="David" w:hint="cs"/>
          <w:color w:val="000000"/>
          <w:sz w:val="24"/>
          <w:szCs w:val="24"/>
          <w:rtl/>
        </w:rPr>
        <w:t>כי</w:t>
      </w:r>
      <w:r w:rsidR="00EE3DE6">
        <w:rPr>
          <w:rFonts w:ascii="David" w:eastAsia="Times New Roman" w:hAnsi="David" w:cs="David" w:hint="cs"/>
          <w:color w:val="000000"/>
          <w:sz w:val="24"/>
          <w:szCs w:val="24"/>
          <w:rtl/>
        </w:rPr>
        <w:t>:</w:t>
      </w:r>
      <w:r>
        <w:rPr>
          <w:rFonts w:ascii="David" w:eastAsia="Times New Roman" w:hAnsi="David" w:cs="David" w:hint="cs"/>
          <w:color w:val="000000"/>
          <w:sz w:val="24"/>
          <w:szCs w:val="24"/>
          <w:rtl/>
        </w:rPr>
        <w:t xml:space="preserve"> </w:t>
      </w:r>
      <w:r w:rsidR="0058702E">
        <w:rPr>
          <w:rFonts w:ascii="David" w:hAnsi="David" w:cs="David"/>
          <w:color w:val="000000"/>
          <w:sz w:val="24"/>
          <w:szCs w:val="24"/>
          <w:shd w:val="clear" w:color="auto" w:fill="FFFFFF"/>
          <w:rtl/>
        </w:rPr>
        <w:t>"</w:t>
      </w:r>
      <w:r w:rsidR="0058702E">
        <w:rPr>
          <w:rFonts w:ascii="David" w:hAnsi="David" w:cs="David"/>
          <w:b/>
          <w:bCs/>
          <w:color w:val="000000"/>
          <w:sz w:val="24"/>
          <w:szCs w:val="24"/>
          <w:shd w:val="clear" w:color="auto" w:fill="FFFFFF"/>
          <w:rtl/>
        </w:rPr>
        <w:t>בחישוב תקופת ההתיישנות לא יבוא במנין הזמן שבו התובע לא היה מסוגל לדאוג לענ</w:t>
      </w:r>
      <w:r>
        <w:rPr>
          <w:rFonts w:ascii="David" w:hAnsi="David" w:cs="David" w:hint="cs"/>
          <w:b/>
          <w:bCs/>
          <w:color w:val="000000"/>
          <w:sz w:val="24"/>
          <w:szCs w:val="24"/>
          <w:shd w:val="clear" w:color="auto" w:fill="FFFFFF"/>
          <w:rtl/>
        </w:rPr>
        <w:t>יי</w:t>
      </w:r>
      <w:r w:rsidR="0058702E">
        <w:rPr>
          <w:rFonts w:ascii="David" w:hAnsi="David" w:cs="David"/>
          <w:b/>
          <w:bCs/>
          <w:color w:val="000000"/>
          <w:sz w:val="24"/>
          <w:szCs w:val="24"/>
          <w:shd w:val="clear" w:color="auto" w:fill="FFFFFF"/>
          <w:rtl/>
        </w:rPr>
        <w:t>ניו מחמת ליקוי נפשי או שכלי, זמני או קבוע</w:t>
      </w:r>
      <w:r>
        <w:rPr>
          <w:rFonts w:ascii="David" w:hAnsi="David" w:cs="David" w:hint="cs"/>
          <w:b/>
          <w:bCs/>
          <w:color w:val="000000"/>
          <w:sz w:val="24"/>
          <w:szCs w:val="24"/>
          <w:shd w:val="clear" w:color="auto" w:fill="FFFFFF"/>
          <w:rtl/>
        </w:rPr>
        <w:t>...</w:t>
      </w:r>
      <w:r>
        <w:rPr>
          <w:rFonts w:ascii="David" w:eastAsia="Times New Roman" w:hAnsi="David" w:cs="David"/>
          <w:color w:val="000000"/>
          <w:sz w:val="24"/>
          <w:szCs w:val="24"/>
          <w:rtl/>
        </w:rPr>
        <w:t xml:space="preserve"> </w:t>
      </w:r>
      <w:r w:rsidR="0058702E">
        <w:rPr>
          <w:rFonts w:ascii="David" w:eastAsia="Times New Roman" w:hAnsi="David" w:cs="David"/>
          <w:color w:val="000000"/>
          <w:sz w:val="24"/>
          <w:szCs w:val="24"/>
          <w:rtl/>
        </w:rPr>
        <w:t>"</w:t>
      </w:r>
      <w:r>
        <w:rPr>
          <w:rFonts w:ascii="David" w:eastAsia="Times New Roman" w:hAnsi="David" w:cs="David" w:hint="cs"/>
          <w:color w:val="000000"/>
          <w:sz w:val="24"/>
          <w:szCs w:val="24"/>
          <w:rtl/>
        </w:rPr>
        <w:t xml:space="preserve">. בהתאם לדין, </w:t>
      </w:r>
      <w:r w:rsidR="0058702E" w:rsidRPr="00D45626">
        <w:rPr>
          <w:rFonts w:ascii="David" w:hAnsi="David" w:cs="David"/>
          <w:color w:val="000000"/>
          <w:sz w:val="24"/>
          <w:szCs w:val="24"/>
          <w:rtl/>
        </w:rPr>
        <w:t>לצורך הוכחת התנאי הראשון לתחולת </w:t>
      </w:r>
      <w:r w:rsidR="0058702E" w:rsidRPr="00D45626">
        <w:rPr>
          <w:rFonts w:ascii="David" w:hAnsi="David" w:cs="David"/>
          <w:sz w:val="24"/>
          <w:szCs w:val="24"/>
          <w:rtl/>
        </w:rPr>
        <w:t>סעיף 11</w:t>
      </w:r>
      <w:r w:rsidR="0058702E" w:rsidRPr="00D45626">
        <w:rPr>
          <w:rFonts w:ascii="David" w:hAnsi="David" w:cs="David"/>
          <w:sz w:val="24"/>
          <w:szCs w:val="24"/>
        </w:rPr>
        <w:t> </w:t>
      </w:r>
      <w:r w:rsidR="0058702E" w:rsidRPr="00D45626">
        <w:rPr>
          <w:rFonts w:ascii="David" w:hAnsi="David" w:cs="David"/>
          <w:sz w:val="24"/>
          <w:szCs w:val="24"/>
          <w:rtl/>
        </w:rPr>
        <w:t>לחוק ההתיישנות</w:t>
      </w:r>
      <w:r w:rsidR="0058702E" w:rsidRPr="00D45626">
        <w:rPr>
          <w:rFonts w:ascii="David" w:hAnsi="David" w:cs="David"/>
          <w:sz w:val="24"/>
          <w:szCs w:val="24"/>
        </w:rPr>
        <w:t>,</w:t>
      </w:r>
      <w:r w:rsidR="0058702E" w:rsidRPr="00D45626">
        <w:rPr>
          <w:rFonts w:ascii="David" w:hAnsi="David" w:cs="David"/>
          <w:sz w:val="24"/>
          <w:szCs w:val="24"/>
          <w:rtl/>
        </w:rPr>
        <w:t xml:space="preserve"> יש </w:t>
      </w:r>
      <w:r w:rsidR="0058702E" w:rsidRPr="00D45626">
        <w:rPr>
          <w:rFonts w:ascii="David" w:hAnsi="David" w:cs="David"/>
          <w:color w:val="000000"/>
          <w:sz w:val="24"/>
          <w:szCs w:val="24"/>
          <w:rtl/>
        </w:rPr>
        <w:t>להניח תשתית ראייתית שיש בה כדי לבסס ממצאים עובדתיים שבגינם יש לקבוע מצב זמני או ק</w:t>
      </w:r>
      <w:r w:rsidR="00527D8D">
        <w:rPr>
          <w:rFonts w:ascii="David" w:hAnsi="David" w:cs="David"/>
          <w:color w:val="000000"/>
          <w:sz w:val="24"/>
          <w:szCs w:val="24"/>
          <w:rtl/>
        </w:rPr>
        <w:t>בוע של היעדר יכולת להגיש תביעה</w:t>
      </w:r>
      <w:r w:rsidR="00527D8D">
        <w:rPr>
          <w:rFonts w:ascii="David" w:hAnsi="David" w:cs="David" w:hint="cs"/>
          <w:color w:val="000000"/>
          <w:sz w:val="24"/>
          <w:szCs w:val="24"/>
          <w:rtl/>
        </w:rPr>
        <w:t>, כפי ש</w:t>
      </w:r>
      <w:r w:rsidR="0058702E" w:rsidRPr="00527D8D">
        <w:rPr>
          <w:rFonts w:ascii="David" w:eastAsia="Times New Roman" w:hAnsi="David" w:cs="David"/>
          <w:color w:val="000000"/>
          <w:sz w:val="24"/>
          <w:szCs w:val="24"/>
          <w:rtl/>
        </w:rPr>
        <w:t>נקבע ב</w:t>
      </w:r>
      <w:r w:rsidR="0058702E" w:rsidRPr="00527D8D">
        <w:rPr>
          <w:rFonts w:ascii="David" w:hAnsi="David" w:cs="David"/>
          <w:color w:val="000000"/>
          <w:sz w:val="24"/>
          <w:szCs w:val="24"/>
          <w:rtl/>
        </w:rPr>
        <w:t>ע</w:t>
      </w:r>
      <w:r w:rsidR="00527D8D">
        <w:rPr>
          <w:rFonts w:ascii="David" w:hAnsi="David" w:cs="David" w:hint="cs"/>
          <w:color w:val="000000"/>
          <w:sz w:val="24"/>
          <w:szCs w:val="24"/>
          <w:rtl/>
        </w:rPr>
        <w:t>"</w:t>
      </w:r>
      <w:r w:rsidR="0058702E" w:rsidRPr="00527D8D">
        <w:rPr>
          <w:rFonts w:ascii="David" w:hAnsi="David" w:cs="David"/>
          <w:color w:val="000000"/>
          <w:sz w:val="24"/>
          <w:szCs w:val="24"/>
          <w:rtl/>
        </w:rPr>
        <w:t xml:space="preserve">א 6649/20 </w:t>
      </w:r>
      <w:r w:rsidR="0058702E" w:rsidRPr="00527D8D">
        <w:rPr>
          <w:rFonts w:ascii="David" w:hAnsi="David" w:cs="David"/>
          <w:b/>
          <w:bCs/>
          <w:color w:val="000000"/>
          <w:sz w:val="24"/>
          <w:szCs w:val="24"/>
          <w:rtl/>
        </w:rPr>
        <w:t>פלוני נ' רכבת ישראל</w:t>
      </w:r>
      <w:r w:rsidR="0058702E" w:rsidRPr="00527D8D">
        <w:rPr>
          <w:rFonts w:ascii="David" w:eastAsia="Times New Roman" w:hAnsi="David" w:cs="David"/>
          <w:color w:val="000000"/>
          <w:sz w:val="24"/>
          <w:szCs w:val="24"/>
          <w:rtl/>
        </w:rPr>
        <w:t xml:space="preserve"> </w:t>
      </w:r>
      <w:r w:rsidR="00527D8D">
        <w:rPr>
          <w:rFonts w:ascii="David" w:eastAsia="Times New Roman" w:hAnsi="David" w:cs="David" w:hint="cs"/>
          <w:color w:val="000000"/>
          <w:sz w:val="24"/>
          <w:szCs w:val="24"/>
          <w:rtl/>
        </w:rPr>
        <w:t xml:space="preserve">(נבו, 13.1.2022): </w:t>
      </w:r>
      <w:r w:rsidR="0058702E" w:rsidRPr="00B57960">
        <w:rPr>
          <w:rFonts w:ascii="David" w:hAnsi="David" w:cs="David"/>
          <w:b/>
          <w:bCs/>
          <w:color w:val="000000"/>
          <w:spacing w:val="10"/>
          <w:sz w:val="24"/>
          <w:szCs w:val="24"/>
          <w:rtl/>
        </w:rPr>
        <w:t xml:space="preserve">"לפי תכלית הסעיף, יש לפרש את המונח כך שהתובע יחויב להראות שהוא נעדר יכולת להחליט על ביצוע פעולות משפטיות כמו הגשת תביעה או מתן ייפוי כוח לעורך דין. יושם אל לב, כי הסעיף נוקט לשון שלפיה התובע "לא היה  מסוגל לדאוג לענייניו", </w:t>
      </w:r>
      <w:r w:rsidR="0058702E" w:rsidRPr="00B57960">
        <w:rPr>
          <w:rFonts w:ascii="David" w:hAnsi="David" w:cs="David"/>
          <w:b/>
          <w:bCs/>
          <w:color w:val="000000"/>
          <w:spacing w:val="10"/>
          <w:sz w:val="24"/>
          <w:szCs w:val="24"/>
          <w:u w:val="double"/>
          <w:rtl/>
        </w:rPr>
        <w:t>להבדיל מאמת מידה בדבר קיומו של קושי לתובע, גם אם קושי רב, לדאוג לענייניו</w:t>
      </w:r>
      <w:r w:rsidR="0058702E" w:rsidRPr="00B57960">
        <w:rPr>
          <w:rFonts w:ascii="David" w:hAnsi="David" w:cs="David"/>
          <w:b/>
          <w:bCs/>
          <w:color w:val="000000"/>
          <w:spacing w:val="10"/>
          <w:sz w:val="24"/>
          <w:szCs w:val="24"/>
          <w:rtl/>
        </w:rPr>
        <w:t>.</w:t>
      </w:r>
      <w:r w:rsidR="00527D8D" w:rsidRPr="00B57960">
        <w:rPr>
          <w:rFonts w:ascii="David" w:hAnsi="David" w:cs="David" w:hint="cs"/>
          <w:b/>
          <w:bCs/>
          <w:color w:val="000000"/>
          <w:spacing w:val="10"/>
          <w:sz w:val="24"/>
          <w:szCs w:val="24"/>
          <w:rtl/>
        </w:rPr>
        <w:t>..</w:t>
      </w:r>
      <w:r w:rsidR="0058702E" w:rsidRPr="00B57960">
        <w:rPr>
          <w:rFonts w:ascii="David" w:hAnsi="David" w:cs="David"/>
          <w:b/>
          <w:bCs/>
          <w:color w:val="000000"/>
          <w:spacing w:val="10"/>
          <w:sz w:val="24"/>
          <w:szCs w:val="24"/>
          <w:rtl/>
        </w:rPr>
        <w:t xml:space="preserve"> בפסיקה הודגש עוד כי לשם החלת הסעיף נדרש להציג תשתית ראייתית מספקת, ואין להעלות את הטענה בצורה כללית מבלי להתייחס לפרק זמן תחום וספציפי שביחס אליו התקיימו תנאי הסעי</w:t>
      </w:r>
      <w:r w:rsidR="00527D8D" w:rsidRPr="00B57960">
        <w:rPr>
          <w:rFonts w:ascii="David" w:hAnsi="David" w:cs="David" w:hint="cs"/>
          <w:b/>
          <w:bCs/>
          <w:color w:val="000000"/>
          <w:spacing w:val="10"/>
          <w:sz w:val="24"/>
          <w:szCs w:val="24"/>
          <w:rtl/>
        </w:rPr>
        <w:t>ף"</w:t>
      </w:r>
      <w:r w:rsidR="00527D8D">
        <w:rPr>
          <w:rFonts w:ascii="David" w:hAnsi="David" w:cs="David" w:hint="cs"/>
          <w:color w:val="000000"/>
          <w:spacing w:val="10"/>
          <w:sz w:val="24"/>
          <w:szCs w:val="24"/>
          <w:rtl/>
        </w:rPr>
        <w:t xml:space="preserve"> </w:t>
      </w:r>
      <w:r w:rsidR="00527D8D" w:rsidRPr="00724362">
        <w:rPr>
          <w:rFonts w:ascii="David" w:hAnsi="David" w:cs="David" w:hint="cs"/>
          <w:spacing w:val="10"/>
          <w:sz w:val="24"/>
          <w:szCs w:val="24"/>
          <w:rtl/>
        </w:rPr>
        <w:t xml:space="preserve">(פסקה </w:t>
      </w:r>
      <w:r w:rsidR="00724362" w:rsidRPr="00724362">
        <w:rPr>
          <w:rFonts w:ascii="David" w:hAnsi="David" w:cs="David" w:hint="cs"/>
          <w:spacing w:val="10"/>
          <w:sz w:val="24"/>
          <w:szCs w:val="24"/>
          <w:rtl/>
        </w:rPr>
        <w:t>5</w:t>
      </w:r>
      <w:r w:rsidR="00527D8D" w:rsidRPr="00724362">
        <w:rPr>
          <w:rFonts w:ascii="David" w:hAnsi="David" w:cs="David" w:hint="cs"/>
          <w:spacing w:val="10"/>
          <w:sz w:val="24"/>
          <w:szCs w:val="24"/>
          <w:rtl/>
        </w:rPr>
        <w:t xml:space="preserve"> לפסק הדין).</w:t>
      </w:r>
    </w:p>
    <w:p w:rsidR="00527D8D" w:rsidRPr="00527D8D" w:rsidRDefault="00527D8D" w:rsidP="00527D8D">
      <w:pPr>
        <w:pStyle w:val="af0"/>
        <w:rPr>
          <w:rFonts w:ascii="David" w:eastAsia="Times New Roman" w:hAnsi="David" w:cs="David"/>
          <w:color w:val="000000"/>
          <w:sz w:val="24"/>
          <w:szCs w:val="24"/>
          <w:rtl/>
        </w:rPr>
      </w:pPr>
    </w:p>
    <w:p w:rsidR="00527D8D" w:rsidRPr="00527D8D" w:rsidRDefault="00527D8D" w:rsidP="00527D8D">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מיותר לציין כי התובעת לא הצביעה על עובדות שבגינן ניתן לקבוע כי משך כ 16 שנים היא הייתה במצב זמני של </w:t>
      </w:r>
      <w:r w:rsidR="0058702E" w:rsidRPr="00527D8D">
        <w:rPr>
          <w:rFonts w:ascii="David" w:hAnsi="David" w:cs="David"/>
          <w:spacing w:val="10"/>
          <w:sz w:val="24"/>
          <w:szCs w:val="24"/>
          <w:rtl/>
        </w:rPr>
        <w:t>היעדר יכולת להגיש תביעה</w:t>
      </w:r>
      <w:r>
        <w:rPr>
          <w:rFonts w:ascii="David" w:hAnsi="David" w:cs="David" w:hint="cs"/>
          <w:spacing w:val="10"/>
          <w:sz w:val="24"/>
          <w:szCs w:val="24"/>
          <w:rtl/>
        </w:rPr>
        <w:t xml:space="preserve"> </w:t>
      </w:r>
      <w:r w:rsidR="0058702E" w:rsidRPr="00527D8D">
        <w:rPr>
          <w:rFonts w:ascii="David" w:hAnsi="David" w:cs="David"/>
          <w:spacing w:val="10"/>
          <w:sz w:val="24"/>
          <w:szCs w:val="24"/>
          <w:rtl/>
        </w:rPr>
        <w:t>(</w:t>
      </w:r>
      <w:r>
        <w:rPr>
          <w:rFonts w:ascii="David" w:hAnsi="David" w:cs="David" w:hint="cs"/>
          <w:spacing w:val="10"/>
          <w:sz w:val="24"/>
          <w:szCs w:val="24"/>
          <w:rtl/>
        </w:rPr>
        <w:t xml:space="preserve">ר' והשווה: </w:t>
      </w:r>
      <w:r w:rsidR="0058702E" w:rsidRPr="00527D8D">
        <w:rPr>
          <w:rFonts w:ascii="David" w:hAnsi="David" w:cs="David"/>
          <w:spacing w:val="10"/>
          <w:sz w:val="24"/>
          <w:szCs w:val="24"/>
          <w:rtl/>
        </w:rPr>
        <w:t>רע"א 3266/07</w:t>
      </w:r>
      <w:r w:rsidR="0058702E" w:rsidRPr="00527D8D">
        <w:rPr>
          <w:rFonts w:ascii="David" w:hAnsi="David" w:cs="David"/>
          <w:spacing w:val="10"/>
          <w:sz w:val="24"/>
          <w:szCs w:val="24"/>
        </w:rPr>
        <w:t> </w:t>
      </w:r>
      <w:r w:rsidR="0058702E" w:rsidRPr="00B57960">
        <w:rPr>
          <w:rFonts w:ascii="David" w:hAnsi="David" w:cs="David"/>
          <w:b/>
          <w:bCs/>
          <w:sz w:val="24"/>
          <w:szCs w:val="24"/>
          <w:rtl/>
        </w:rPr>
        <w:t>פלוני נ' הראל חברה לביטוח בע"מ</w:t>
      </w:r>
      <w:r>
        <w:rPr>
          <w:rFonts w:ascii="David" w:hAnsi="David" w:cs="David" w:hint="cs"/>
          <w:sz w:val="24"/>
          <w:szCs w:val="24"/>
          <w:rtl/>
        </w:rPr>
        <w:t xml:space="preserve"> (נבו, 30.7.2009)).</w:t>
      </w:r>
    </w:p>
    <w:p w:rsidR="00527D8D" w:rsidRPr="00527D8D" w:rsidRDefault="00527D8D" w:rsidP="00527D8D">
      <w:pPr>
        <w:pStyle w:val="af0"/>
        <w:rPr>
          <w:rFonts w:ascii="David" w:eastAsia="Times New Roman" w:hAnsi="David" w:cs="David"/>
          <w:color w:val="000000"/>
          <w:sz w:val="16"/>
          <w:szCs w:val="16"/>
          <w:rtl/>
        </w:rPr>
      </w:pPr>
    </w:p>
    <w:p w:rsidR="00E472A8" w:rsidRPr="00E472A8" w:rsidRDefault="00E472A8" w:rsidP="00E472A8">
      <w:pPr>
        <w:pStyle w:val="af0"/>
        <w:numPr>
          <w:ilvl w:val="0"/>
          <w:numId w:val="1"/>
        </w:numPr>
        <w:spacing w:after="0" w:line="330" w:lineRule="atLeast"/>
        <w:ind w:left="567" w:hanging="567"/>
        <w:jc w:val="both"/>
        <w:rPr>
          <w:rFonts w:ascii="David" w:eastAsia="Times New Roman" w:hAnsi="David" w:cs="David"/>
          <w:b/>
          <w:bCs/>
          <w:color w:val="000000"/>
          <w:sz w:val="24"/>
          <w:szCs w:val="24"/>
        </w:rPr>
      </w:pPr>
      <w:r w:rsidRPr="00E472A8">
        <w:rPr>
          <w:rFonts w:ascii="David" w:eastAsia="Times New Roman" w:hAnsi="David" w:cs="David" w:hint="cs"/>
          <w:color w:val="000000"/>
          <w:sz w:val="24"/>
          <w:szCs w:val="24"/>
          <w:rtl/>
        </w:rPr>
        <w:t xml:space="preserve">התובעת אף לא בחלה לטעון לתחולתו של סעיף </w:t>
      </w:r>
      <w:r w:rsidRPr="00E472A8">
        <w:rPr>
          <w:rFonts w:ascii="David" w:eastAsia="Times New Roman" w:hAnsi="David" w:cs="David"/>
          <w:color w:val="000000"/>
          <w:sz w:val="24"/>
          <w:szCs w:val="24"/>
          <w:rtl/>
        </w:rPr>
        <w:t>18א לחוק ההתיישנות קובע:</w:t>
      </w:r>
      <w:r w:rsidRPr="00E472A8">
        <w:rPr>
          <w:rFonts w:ascii="Arial" w:hAnsi="Arial" w:cs="Arial"/>
          <w:color w:val="000000"/>
          <w:sz w:val="21"/>
          <w:szCs w:val="21"/>
          <w:shd w:val="clear" w:color="auto" w:fill="FFFFFF"/>
          <w:rtl/>
        </w:rPr>
        <w:t xml:space="preserve"> </w:t>
      </w:r>
      <w:r w:rsidRPr="00E472A8">
        <w:rPr>
          <w:rFonts w:ascii="David" w:hAnsi="David" w:cs="David"/>
          <w:b/>
          <w:bCs/>
          <w:color w:val="000000"/>
          <w:sz w:val="24"/>
          <w:szCs w:val="24"/>
          <w:shd w:val="clear" w:color="auto" w:fill="FFFFFF"/>
          <w:rtl/>
        </w:rPr>
        <w:t>בחישוב תקופת ההתיישנות של תביעה בתובענה שהגיש נפגע בשל מעשה כמפורט להלן, לא יבוא במניין הזמן שבו טרם מלאו לנפגע 28 שנים</w:t>
      </w:r>
      <w:r w:rsidRPr="00E472A8">
        <w:rPr>
          <w:rFonts w:ascii="David" w:hAnsi="David" w:cs="David" w:hint="cs"/>
          <w:b/>
          <w:bCs/>
          <w:color w:val="000000"/>
          <w:sz w:val="24"/>
          <w:szCs w:val="24"/>
          <w:shd w:val="clear" w:color="auto" w:fill="FFFFFF"/>
          <w:rtl/>
        </w:rPr>
        <w:t>...</w:t>
      </w:r>
      <w:r w:rsidRPr="00E472A8">
        <w:rPr>
          <w:rFonts w:ascii="David" w:hAnsi="David" w:cs="David"/>
          <w:b/>
          <w:bCs/>
          <w:color w:val="000000"/>
          <w:sz w:val="24"/>
          <w:szCs w:val="24"/>
          <w:shd w:val="clear" w:color="auto" w:fill="FFFFFF"/>
          <w:rtl/>
        </w:rPr>
        <w:t>התעללות שבוצעה בנפגע בהיותו קטין בידי פוגע שהוא בן משפחתו או אדם שהיה אחראי עליו</w:t>
      </w:r>
      <w:r>
        <w:rPr>
          <w:rFonts w:ascii="David" w:hAnsi="David" w:cs="David"/>
          <w:b/>
          <w:bCs/>
          <w:color w:val="000000"/>
          <w:sz w:val="24"/>
          <w:szCs w:val="24"/>
          <w:shd w:val="clear" w:color="auto" w:fill="FFFFFF"/>
        </w:rPr>
        <w:t>"</w:t>
      </w:r>
      <w:r w:rsidR="00EE3DE6">
        <w:rPr>
          <w:rFonts w:ascii="David" w:eastAsia="Times New Roman" w:hAnsi="David" w:cs="David" w:hint="cs"/>
          <w:b/>
          <w:bCs/>
          <w:color w:val="000000"/>
          <w:sz w:val="24"/>
          <w:szCs w:val="24"/>
          <w:rtl/>
        </w:rPr>
        <w:t>.</w:t>
      </w:r>
    </w:p>
    <w:p w:rsidR="00E472A8" w:rsidRPr="00E472A8" w:rsidRDefault="00E472A8" w:rsidP="00E472A8">
      <w:pPr>
        <w:pStyle w:val="af0"/>
        <w:rPr>
          <w:rFonts w:ascii="David" w:eastAsia="Times New Roman" w:hAnsi="David" w:cs="David"/>
          <w:b/>
          <w:bCs/>
          <w:color w:val="000000"/>
          <w:sz w:val="24"/>
          <w:szCs w:val="24"/>
          <w:rtl/>
        </w:rPr>
      </w:pPr>
    </w:p>
    <w:p w:rsidR="00E472A8" w:rsidRPr="00E472A8" w:rsidRDefault="00E472A8" w:rsidP="00D80559">
      <w:pPr>
        <w:pStyle w:val="af0"/>
        <w:numPr>
          <w:ilvl w:val="0"/>
          <w:numId w:val="1"/>
        </w:numPr>
        <w:spacing w:after="0" w:line="330" w:lineRule="atLeast"/>
        <w:ind w:left="567" w:hanging="567"/>
        <w:jc w:val="both"/>
        <w:rPr>
          <w:rFonts w:ascii="David" w:eastAsia="Times New Roman" w:hAnsi="David" w:cs="David"/>
          <w:color w:val="000000"/>
          <w:sz w:val="24"/>
          <w:szCs w:val="24"/>
          <w:rtl/>
        </w:rPr>
      </w:pPr>
      <w:r w:rsidRPr="00E472A8">
        <w:rPr>
          <w:rFonts w:ascii="David" w:eastAsia="Times New Roman" w:hAnsi="David" w:cs="David" w:hint="cs"/>
          <w:color w:val="000000"/>
          <w:sz w:val="24"/>
          <w:szCs w:val="24"/>
          <w:rtl/>
        </w:rPr>
        <w:lastRenderedPageBreak/>
        <w:t xml:space="preserve">הנתבע בסיכומיו נחרד והזדעזע מעצם </w:t>
      </w:r>
      <w:r>
        <w:rPr>
          <w:rFonts w:ascii="David" w:eastAsia="Times New Roman" w:hAnsi="David" w:cs="David" w:hint="cs"/>
          <w:color w:val="000000"/>
          <w:sz w:val="24"/>
          <w:szCs w:val="24"/>
          <w:rtl/>
        </w:rPr>
        <w:t>הטענה לפי סעיף זה</w:t>
      </w:r>
      <w:r w:rsidR="00D80559">
        <w:rPr>
          <w:rFonts w:ascii="David" w:eastAsia="Times New Roman" w:hAnsi="David" w:cs="David" w:hint="cs"/>
          <w:color w:val="000000"/>
          <w:sz w:val="24"/>
          <w:szCs w:val="24"/>
          <w:rtl/>
        </w:rPr>
        <w:t>.</w:t>
      </w:r>
      <w:r>
        <w:rPr>
          <w:rFonts w:ascii="David" w:eastAsia="Times New Roman" w:hAnsi="David" w:cs="David" w:hint="cs"/>
          <w:color w:val="000000"/>
          <w:sz w:val="24"/>
          <w:szCs w:val="24"/>
          <w:rtl/>
        </w:rPr>
        <w:t xml:space="preserve"> לגופם של דברים, ומבלי להביע עמדה ערכית, ניכר כי </w:t>
      </w:r>
      <w:r w:rsidRPr="00E472A8">
        <w:rPr>
          <w:rFonts w:ascii="David" w:eastAsia="Times New Roman" w:hAnsi="David" w:cs="David"/>
          <w:color w:val="000000"/>
          <w:sz w:val="24"/>
          <w:szCs w:val="24"/>
          <w:rtl/>
        </w:rPr>
        <w:t xml:space="preserve">גם סעיף זה אין בידו לסייע לתובעת שכן סעיף זה רלוונטי לתביעות בגין מעשים </w:t>
      </w:r>
      <w:r>
        <w:rPr>
          <w:rFonts w:ascii="David" w:eastAsia="Times New Roman" w:hAnsi="David" w:cs="David" w:hint="cs"/>
          <w:color w:val="000000"/>
          <w:sz w:val="24"/>
          <w:szCs w:val="24"/>
          <w:rtl/>
        </w:rPr>
        <w:t xml:space="preserve">קשים </w:t>
      </w:r>
      <w:r w:rsidRPr="00E472A8">
        <w:rPr>
          <w:rFonts w:ascii="David" w:eastAsia="Times New Roman" w:hAnsi="David" w:cs="David"/>
          <w:color w:val="000000"/>
          <w:sz w:val="24"/>
          <w:szCs w:val="24"/>
          <w:rtl/>
        </w:rPr>
        <w:t xml:space="preserve">(תקיפה מינית, מעשי אלימות או התעללות) ואילו תובענה זו, שאמנם מייחסת לנתבע מעשים מסוג זה </w:t>
      </w:r>
      <w:r>
        <w:rPr>
          <w:rFonts w:ascii="David" w:eastAsia="Times New Roman" w:hAnsi="David" w:cs="David" w:hint="cs"/>
          <w:color w:val="000000"/>
          <w:sz w:val="24"/>
          <w:szCs w:val="24"/>
          <w:rtl/>
        </w:rPr>
        <w:t xml:space="preserve">(התעללות, שלא מצאתי לה ראיות טובות או בכלל) היא </w:t>
      </w:r>
      <w:r w:rsidRPr="00E472A8">
        <w:rPr>
          <w:rFonts w:ascii="David" w:eastAsia="Times New Roman" w:hAnsi="David" w:cs="David"/>
          <w:color w:val="000000"/>
          <w:sz w:val="24"/>
          <w:szCs w:val="24"/>
          <w:rtl/>
        </w:rPr>
        <w:t xml:space="preserve">איננה תובענה שהוגשה </w:t>
      </w:r>
      <w:r w:rsidRPr="00E472A8">
        <w:rPr>
          <w:rFonts w:ascii="David" w:eastAsia="Times New Roman" w:hAnsi="David" w:cs="David"/>
          <w:b/>
          <w:bCs/>
          <w:color w:val="000000"/>
          <w:sz w:val="24"/>
          <w:szCs w:val="24"/>
          <w:u w:val="single"/>
          <w:rtl/>
        </w:rPr>
        <w:t>בשל</w:t>
      </w:r>
      <w:r w:rsidRPr="00E472A8">
        <w:rPr>
          <w:rFonts w:ascii="David" w:eastAsia="Times New Roman" w:hAnsi="David" w:cs="David"/>
          <w:color w:val="000000"/>
          <w:sz w:val="24"/>
          <w:szCs w:val="24"/>
          <w:rtl/>
        </w:rPr>
        <w:t xml:space="preserve"> מעשים אלו.</w:t>
      </w:r>
      <w:r>
        <w:rPr>
          <w:rFonts w:ascii="David" w:eastAsia="Times New Roman" w:hAnsi="David" w:cs="David" w:hint="cs"/>
          <w:color w:val="000000"/>
          <w:sz w:val="24"/>
          <w:szCs w:val="24"/>
          <w:rtl/>
        </w:rPr>
        <w:t xml:space="preserve"> </w:t>
      </w:r>
      <w:r w:rsidRPr="00E472A8">
        <w:rPr>
          <w:rFonts w:ascii="David" w:eastAsia="Times New Roman" w:hAnsi="David" w:cs="David"/>
          <w:color w:val="000000"/>
          <w:sz w:val="24"/>
          <w:szCs w:val="24"/>
          <w:rtl/>
        </w:rPr>
        <w:t>בנוסף, בהתאם ל</w:t>
      </w:r>
      <w:r>
        <w:rPr>
          <w:rFonts w:ascii="David" w:eastAsia="Times New Roman" w:hAnsi="David" w:cs="David" w:hint="cs"/>
          <w:color w:val="000000"/>
          <w:sz w:val="24"/>
          <w:szCs w:val="24"/>
          <w:rtl/>
        </w:rPr>
        <w:t xml:space="preserve">חוק, </w:t>
      </w:r>
      <w:r w:rsidRPr="00E472A8">
        <w:rPr>
          <w:rFonts w:ascii="David" w:eastAsia="Times New Roman" w:hAnsi="David" w:cs="David"/>
          <w:color w:val="000000"/>
          <w:sz w:val="24"/>
          <w:szCs w:val="24"/>
          <w:rtl/>
        </w:rPr>
        <w:t xml:space="preserve">התביעה תתיישן בהגיע הנפגע לגיל 35 (7 שנים לאחר </w:t>
      </w:r>
      <w:r>
        <w:rPr>
          <w:rFonts w:ascii="David" w:eastAsia="Times New Roman" w:hAnsi="David" w:cs="David" w:hint="cs"/>
          <w:color w:val="000000"/>
          <w:sz w:val="24"/>
          <w:szCs w:val="24"/>
          <w:rtl/>
        </w:rPr>
        <w:t xml:space="preserve">מלאת לו 28 שנים) </w:t>
      </w:r>
      <w:r w:rsidRPr="00E472A8">
        <w:rPr>
          <w:rFonts w:ascii="David" w:eastAsia="Times New Roman" w:hAnsi="David" w:cs="David"/>
          <w:color w:val="000000"/>
          <w:sz w:val="24"/>
          <w:szCs w:val="24"/>
          <w:rtl/>
        </w:rPr>
        <w:t>ואילו התובעת הגישה תובענה זו בהיותה בת כ 3</w:t>
      </w:r>
      <w:r w:rsidR="00162199">
        <w:rPr>
          <w:rFonts w:ascii="David" w:eastAsia="Times New Roman" w:hAnsi="David" w:cs="David" w:hint="cs"/>
          <w:color w:val="000000"/>
          <w:sz w:val="24"/>
          <w:szCs w:val="24"/>
          <w:rtl/>
        </w:rPr>
        <w:t>7</w:t>
      </w:r>
      <w:r w:rsidRPr="00E472A8">
        <w:rPr>
          <w:rFonts w:ascii="David" w:eastAsia="Times New Roman" w:hAnsi="David" w:cs="David"/>
          <w:color w:val="000000"/>
          <w:sz w:val="24"/>
          <w:szCs w:val="24"/>
          <w:rtl/>
        </w:rPr>
        <w:t xml:space="preserve"> שנים, היינו לאחר תקופת ההתיישנות הקבועה בסעיף 18א לחוק ההתיישנות. </w:t>
      </w:r>
    </w:p>
    <w:p w:rsidR="00E472A8" w:rsidRPr="00162199" w:rsidRDefault="00E472A8" w:rsidP="00162199">
      <w:pPr>
        <w:pStyle w:val="af0"/>
        <w:spacing w:line="360" w:lineRule="auto"/>
        <w:ind w:left="567"/>
        <w:jc w:val="both"/>
        <w:rPr>
          <w:rFonts w:ascii="David" w:eastAsia="Times New Roman" w:hAnsi="David" w:cs="David"/>
          <w:color w:val="000000"/>
          <w:sz w:val="16"/>
          <w:szCs w:val="16"/>
        </w:rPr>
      </w:pPr>
    </w:p>
    <w:p w:rsidR="0058702E" w:rsidRDefault="0058702E" w:rsidP="00162199">
      <w:pPr>
        <w:pStyle w:val="af0"/>
        <w:numPr>
          <w:ilvl w:val="0"/>
          <w:numId w:val="1"/>
        </w:numPr>
        <w:spacing w:line="360" w:lineRule="auto"/>
        <w:ind w:left="567" w:hanging="567"/>
        <w:jc w:val="both"/>
        <w:rPr>
          <w:rFonts w:ascii="David" w:eastAsia="Times New Roman" w:hAnsi="David" w:cs="David"/>
          <w:color w:val="000000"/>
          <w:sz w:val="24"/>
          <w:szCs w:val="24"/>
        </w:rPr>
      </w:pPr>
      <w:r w:rsidRPr="00527D8D">
        <w:rPr>
          <w:rFonts w:ascii="David" w:hAnsi="David" w:cs="David"/>
          <w:color w:val="000000"/>
          <w:sz w:val="24"/>
          <w:szCs w:val="24"/>
          <w:rtl/>
        </w:rPr>
        <w:t xml:space="preserve">כאמור לעיל, </w:t>
      </w:r>
      <w:r w:rsidR="00162199">
        <w:rPr>
          <w:rFonts w:ascii="David" w:hAnsi="David" w:cs="David" w:hint="cs"/>
          <w:color w:val="000000"/>
          <w:sz w:val="24"/>
          <w:szCs w:val="24"/>
          <w:rtl/>
        </w:rPr>
        <w:t>ל</w:t>
      </w:r>
      <w:r w:rsidRPr="00527D8D">
        <w:rPr>
          <w:rFonts w:ascii="David" w:hAnsi="David" w:cs="David"/>
          <w:color w:val="000000"/>
          <w:sz w:val="24"/>
          <w:szCs w:val="24"/>
          <w:rtl/>
        </w:rPr>
        <w:t>אחר בחינת התשתית הראייתית, לא ניתן לקבל טענת התובעת לפיה במשך תקופה של 16 שנים לא ה</w:t>
      </w:r>
      <w:r w:rsidR="00162199">
        <w:rPr>
          <w:rFonts w:ascii="David" w:hAnsi="David" w:cs="David" w:hint="cs"/>
          <w:color w:val="000000"/>
          <w:sz w:val="24"/>
          <w:szCs w:val="24"/>
          <w:rtl/>
        </w:rPr>
        <w:t>י</w:t>
      </w:r>
      <w:r w:rsidRPr="00527D8D">
        <w:rPr>
          <w:rFonts w:ascii="David" w:hAnsi="David" w:cs="David"/>
          <w:color w:val="000000"/>
          <w:sz w:val="24"/>
          <w:szCs w:val="24"/>
          <w:rtl/>
        </w:rPr>
        <w:t>יתה מסוגלת להגיש את תביעתה</w:t>
      </w:r>
      <w:r w:rsidR="00162199">
        <w:rPr>
          <w:rFonts w:ascii="David" w:hAnsi="David" w:cs="David" w:hint="cs"/>
          <w:color w:val="000000"/>
          <w:sz w:val="24"/>
          <w:szCs w:val="24"/>
          <w:rtl/>
        </w:rPr>
        <w:t xml:space="preserve"> זו</w:t>
      </w:r>
      <w:r w:rsidRPr="00527D8D">
        <w:rPr>
          <w:rFonts w:ascii="David" w:eastAsia="Times New Roman" w:hAnsi="David" w:cs="David"/>
          <w:color w:val="000000"/>
          <w:sz w:val="24"/>
          <w:szCs w:val="24"/>
          <w:rtl/>
        </w:rPr>
        <w:t>. ראינו כי התובעת תפקדה היטב בכל מישורי החיים ואף מקום בו נדרשה יוזמה והשקעת משאבים משמעותיים ובנסיבות אלה אין זה סביר בעיני כי בכל התקופה לא היה באפשרותה להגיש תובענה זו.</w:t>
      </w:r>
    </w:p>
    <w:p w:rsidR="00503FA5" w:rsidRPr="00162199" w:rsidRDefault="00503FA5" w:rsidP="00503FA5">
      <w:pPr>
        <w:pStyle w:val="af0"/>
        <w:rPr>
          <w:rFonts w:ascii="David" w:eastAsia="Times New Roman" w:hAnsi="David" w:cs="David"/>
          <w:color w:val="000000"/>
          <w:sz w:val="16"/>
          <w:szCs w:val="16"/>
          <w:rtl/>
        </w:rPr>
      </w:pPr>
    </w:p>
    <w:p w:rsidR="00162199" w:rsidRDefault="0058702E" w:rsidP="00D80559">
      <w:pPr>
        <w:pStyle w:val="af0"/>
        <w:numPr>
          <w:ilvl w:val="0"/>
          <w:numId w:val="1"/>
        </w:numPr>
        <w:spacing w:line="360" w:lineRule="auto"/>
        <w:ind w:left="567" w:hanging="567"/>
        <w:jc w:val="both"/>
        <w:rPr>
          <w:rFonts w:ascii="David" w:eastAsia="Times New Roman" w:hAnsi="David" w:cs="David"/>
          <w:color w:val="000000"/>
          <w:sz w:val="24"/>
          <w:szCs w:val="24"/>
        </w:rPr>
      </w:pPr>
      <w:r w:rsidRPr="00503FA5">
        <w:rPr>
          <w:rFonts w:ascii="David" w:eastAsia="Times New Roman" w:hAnsi="David" w:cs="David"/>
          <w:color w:val="000000"/>
          <w:sz w:val="24"/>
          <w:szCs w:val="24"/>
          <w:rtl/>
        </w:rPr>
        <w:t xml:space="preserve">התובעת העידה בתצהירה כי </w:t>
      </w:r>
      <w:r w:rsidR="00162199">
        <w:rPr>
          <w:rFonts w:ascii="David" w:eastAsia="Times New Roman" w:hAnsi="David" w:cs="David" w:hint="cs"/>
          <w:color w:val="000000"/>
          <w:sz w:val="24"/>
          <w:szCs w:val="24"/>
          <w:rtl/>
        </w:rPr>
        <w:t xml:space="preserve">אביה הודיע לה </w:t>
      </w:r>
      <w:r w:rsidR="00D80559">
        <w:rPr>
          <w:rFonts w:ascii="David" w:eastAsia="Times New Roman" w:hAnsi="David" w:cs="David" w:hint="cs"/>
          <w:color w:val="000000"/>
          <w:sz w:val="24"/>
          <w:szCs w:val="24"/>
          <w:rtl/>
        </w:rPr>
        <w:t>ש</w:t>
      </w:r>
      <w:r w:rsidR="00162199">
        <w:rPr>
          <w:rFonts w:ascii="David" w:eastAsia="Times New Roman" w:hAnsi="David" w:cs="David" w:hint="cs"/>
          <w:color w:val="000000"/>
          <w:sz w:val="24"/>
          <w:szCs w:val="24"/>
          <w:rtl/>
        </w:rPr>
        <w:t xml:space="preserve">עליה להסתלק מהעיזבון </w:t>
      </w:r>
      <w:r w:rsidRPr="00503FA5">
        <w:rPr>
          <w:rFonts w:ascii="David" w:eastAsia="Times New Roman" w:hAnsi="David" w:cs="David"/>
          <w:color w:val="000000"/>
          <w:sz w:val="24"/>
          <w:szCs w:val="24"/>
          <w:rtl/>
        </w:rPr>
        <w:t>ודרש ממנה להתייצב במשרד עו"ד ולחתום על מסמכי ההסתלקות (</w:t>
      </w:r>
      <w:r w:rsidR="00162199">
        <w:rPr>
          <w:rFonts w:ascii="David" w:eastAsia="Times New Roman" w:hAnsi="David" w:cs="David" w:hint="cs"/>
          <w:color w:val="000000"/>
          <w:sz w:val="24"/>
          <w:szCs w:val="24"/>
          <w:rtl/>
        </w:rPr>
        <w:t xml:space="preserve">ר' סעיפים 75-76 </w:t>
      </w:r>
      <w:r w:rsidRPr="00503FA5">
        <w:rPr>
          <w:rFonts w:ascii="David" w:eastAsia="Times New Roman" w:hAnsi="David" w:cs="David"/>
          <w:color w:val="000000"/>
          <w:sz w:val="24"/>
          <w:szCs w:val="24"/>
          <w:rtl/>
        </w:rPr>
        <w:t>לתצה</w:t>
      </w:r>
      <w:r w:rsidR="00162199">
        <w:rPr>
          <w:rFonts w:ascii="David" w:eastAsia="Times New Roman" w:hAnsi="David" w:cs="David" w:hint="cs"/>
          <w:color w:val="000000"/>
          <w:sz w:val="24"/>
          <w:szCs w:val="24"/>
          <w:rtl/>
        </w:rPr>
        <w:t>י</w:t>
      </w:r>
      <w:r w:rsidRPr="00503FA5">
        <w:rPr>
          <w:rFonts w:ascii="David" w:eastAsia="Times New Roman" w:hAnsi="David" w:cs="David"/>
          <w:color w:val="000000"/>
          <w:sz w:val="24"/>
          <w:szCs w:val="24"/>
          <w:rtl/>
        </w:rPr>
        <w:t>ר</w:t>
      </w:r>
      <w:r w:rsidR="00162199">
        <w:rPr>
          <w:rFonts w:ascii="David" w:eastAsia="Times New Roman" w:hAnsi="David" w:cs="David" w:hint="cs"/>
          <w:color w:val="000000"/>
          <w:sz w:val="24"/>
          <w:szCs w:val="24"/>
          <w:rtl/>
        </w:rPr>
        <w:t>ה</w:t>
      </w:r>
      <w:r w:rsidRPr="00503FA5">
        <w:rPr>
          <w:rFonts w:ascii="David" w:eastAsia="Times New Roman" w:hAnsi="David" w:cs="David"/>
          <w:color w:val="000000"/>
          <w:sz w:val="24"/>
          <w:szCs w:val="24"/>
          <w:rtl/>
        </w:rPr>
        <w:t>)</w:t>
      </w:r>
      <w:r w:rsidR="00162199">
        <w:rPr>
          <w:rFonts w:ascii="David" w:eastAsia="Times New Roman" w:hAnsi="David" w:cs="David" w:hint="cs"/>
          <w:color w:val="000000"/>
          <w:sz w:val="24"/>
          <w:szCs w:val="24"/>
          <w:rtl/>
        </w:rPr>
        <w:t>.</w:t>
      </w:r>
    </w:p>
    <w:p w:rsidR="00162199" w:rsidRPr="00D80559" w:rsidRDefault="00162199" w:rsidP="00162199">
      <w:pPr>
        <w:pStyle w:val="af0"/>
        <w:rPr>
          <w:rFonts w:ascii="David" w:eastAsia="Times New Roman" w:hAnsi="David" w:cs="David"/>
          <w:color w:val="000000"/>
          <w:sz w:val="24"/>
          <w:szCs w:val="24"/>
          <w:rtl/>
        </w:rPr>
      </w:pPr>
    </w:p>
    <w:p w:rsidR="00162199" w:rsidRDefault="00162199" w:rsidP="00162199">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התובעת השלימה את הנראטיב של התביעה בהצהירה (שימת לב מספר הפעמים הרב בו היא מפרטת אירועי עבר): </w:t>
      </w:r>
      <w:r w:rsidR="0058702E" w:rsidRPr="00503FA5">
        <w:rPr>
          <w:rFonts w:ascii="David" w:eastAsia="Times New Roman" w:hAnsi="David" w:cs="David"/>
          <w:color w:val="000000"/>
          <w:sz w:val="24"/>
          <w:szCs w:val="24"/>
          <w:rtl/>
        </w:rPr>
        <w:t>"</w:t>
      </w:r>
      <w:r w:rsidR="0058702E" w:rsidRPr="00503FA5">
        <w:rPr>
          <w:rFonts w:ascii="David" w:eastAsia="Times New Roman" w:hAnsi="David" w:cs="David"/>
          <w:b/>
          <w:bCs/>
          <w:color w:val="000000"/>
          <w:sz w:val="24"/>
          <w:szCs w:val="24"/>
          <w:rtl/>
        </w:rPr>
        <w:t xml:space="preserve">הוריי </w:t>
      </w:r>
      <w:r w:rsidR="0058702E" w:rsidRPr="00162199">
        <w:rPr>
          <w:rFonts w:ascii="David" w:eastAsia="Times New Roman" w:hAnsi="David" w:cs="David"/>
          <w:b/>
          <w:bCs/>
          <w:color w:val="000000"/>
          <w:sz w:val="24"/>
          <w:szCs w:val="24"/>
          <w:u w:val="double"/>
          <w:rtl/>
        </w:rPr>
        <w:t>הפעילו</w:t>
      </w:r>
      <w:r w:rsidR="0058702E" w:rsidRPr="00503FA5">
        <w:rPr>
          <w:rFonts w:ascii="David" w:eastAsia="Times New Roman" w:hAnsi="David" w:cs="David"/>
          <w:b/>
          <w:bCs/>
          <w:color w:val="000000"/>
          <w:sz w:val="24"/>
          <w:szCs w:val="24"/>
          <w:rtl/>
        </w:rPr>
        <w:t xml:space="preserve"> עלי מסכת איומים שהלכה והסלימה. במהלך מספר שבועות הם </w:t>
      </w:r>
      <w:r w:rsidR="0058702E" w:rsidRPr="00162199">
        <w:rPr>
          <w:rFonts w:ascii="David" w:eastAsia="Times New Roman" w:hAnsi="David" w:cs="David"/>
          <w:b/>
          <w:bCs/>
          <w:color w:val="000000"/>
          <w:sz w:val="24"/>
          <w:szCs w:val="24"/>
          <w:u w:val="double"/>
          <w:rtl/>
        </w:rPr>
        <w:t>איימו</w:t>
      </w:r>
      <w:r w:rsidR="0058702E" w:rsidRPr="00503FA5">
        <w:rPr>
          <w:rFonts w:ascii="David" w:eastAsia="Times New Roman" w:hAnsi="David" w:cs="David"/>
          <w:b/>
          <w:bCs/>
          <w:color w:val="000000"/>
          <w:sz w:val="24"/>
          <w:szCs w:val="24"/>
          <w:rtl/>
        </w:rPr>
        <w:t xml:space="preserve"> עלי, </w:t>
      </w:r>
      <w:r w:rsidR="0058702E" w:rsidRPr="00162199">
        <w:rPr>
          <w:rFonts w:ascii="David" w:eastAsia="Times New Roman" w:hAnsi="David" w:cs="David"/>
          <w:b/>
          <w:bCs/>
          <w:color w:val="000000"/>
          <w:sz w:val="24"/>
          <w:szCs w:val="24"/>
          <w:u w:val="double"/>
          <w:rtl/>
        </w:rPr>
        <w:t>נהגו</w:t>
      </w:r>
      <w:r w:rsidR="0058702E" w:rsidRPr="00503FA5">
        <w:rPr>
          <w:rFonts w:ascii="David" w:eastAsia="Times New Roman" w:hAnsi="David" w:cs="David"/>
          <w:b/>
          <w:bCs/>
          <w:color w:val="000000"/>
          <w:sz w:val="24"/>
          <w:szCs w:val="24"/>
          <w:rtl/>
        </w:rPr>
        <w:t xml:space="preserve"> בי באלימות, </w:t>
      </w:r>
      <w:r w:rsidR="0058702E" w:rsidRPr="00162199">
        <w:rPr>
          <w:rFonts w:ascii="David" w:eastAsia="Times New Roman" w:hAnsi="David" w:cs="David"/>
          <w:b/>
          <w:bCs/>
          <w:color w:val="000000"/>
          <w:sz w:val="24"/>
          <w:szCs w:val="24"/>
          <w:u w:val="double"/>
          <w:rtl/>
        </w:rPr>
        <w:t>רוקנו</w:t>
      </w:r>
      <w:r w:rsidR="0058702E" w:rsidRPr="00503FA5">
        <w:rPr>
          <w:rFonts w:ascii="David" w:eastAsia="Times New Roman" w:hAnsi="David" w:cs="David"/>
          <w:b/>
          <w:bCs/>
          <w:color w:val="000000"/>
          <w:sz w:val="24"/>
          <w:szCs w:val="24"/>
          <w:rtl/>
        </w:rPr>
        <w:t xml:space="preserve"> את חשבון הבנק שלי, </w:t>
      </w:r>
      <w:r w:rsidR="0058702E" w:rsidRPr="00162199">
        <w:rPr>
          <w:rFonts w:ascii="David" w:eastAsia="Times New Roman" w:hAnsi="David" w:cs="David"/>
          <w:b/>
          <w:bCs/>
          <w:color w:val="000000"/>
          <w:sz w:val="24"/>
          <w:szCs w:val="24"/>
          <w:u w:val="double"/>
          <w:rtl/>
        </w:rPr>
        <w:t>נטלו</w:t>
      </w:r>
      <w:r w:rsidR="0058702E" w:rsidRPr="00503FA5">
        <w:rPr>
          <w:rFonts w:ascii="David" w:eastAsia="Times New Roman" w:hAnsi="David" w:cs="David"/>
          <w:b/>
          <w:bCs/>
          <w:color w:val="000000"/>
          <w:sz w:val="24"/>
          <w:szCs w:val="24"/>
          <w:rtl/>
        </w:rPr>
        <w:t xml:space="preserve"> את דרכוני, </w:t>
      </w:r>
      <w:r w:rsidR="0058702E" w:rsidRPr="00162199">
        <w:rPr>
          <w:rFonts w:ascii="David" w:eastAsia="Times New Roman" w:hAnsi="David" w:cs="David"/>
          <w:b/>
          <w:bCs/>
          <w:color w:val="000000"/>
          <w:sz w:val="24"/>
          <w:szCs w:val="24"/>
          <w:u w:val="double"/>
          <w:rtl/>
        </w:rPr>
        <w:t>ניתקו</w:t>
      </w:r>
      <w:r w:rsidR="0058702E" w:rsidRPr="00503FA5">
        <w:rPr>
          <w:rFonts w:ascii="David" w:eastAsia="Times New Roman" w:hAnsi="David" w:cs="David"/>
          <w:b/>
          <w:bCs/>
          <w:color w:val="000000"/>
          <w:sz w:val="24"/>
          <w:szCs w:val="24"/>
          <w:rtl/>
        </w:rPr>
        <w:t xml:space="preserve"> את הטלפון הנייד שלי, </w:t>
      </w:r>
      <w:r w:rsidR="0058702E" w:rsidRPr="00162199">
        <w:rPr>
          <w:rFonts w:ascii="David" w:eastAsia="Times New Roman" w:hAnsi="David" w:cs="David"/>
          <w:b/>
          <w:bCs/>
          <w:color w:val="000000"/>
          <w:sz w:val="24"/>
          <w:szCs w:val="24"/>
          <w:u w:val="double"/>
          <w:rtl/>
        </w:rPr>
        <w:t>ביימו</w:t>
      </w:r>
      <w:r w:rsidR="0058702E" w:rsidRPr="00503FA5">
        <w:rPr>
          <w:rFonts w:ascii="David" w:eastAsia="Times New Roman" w:hAnsi="David" w:cs="David"/>
          <w:b/>
          <w:bCs/>
          <w:color w:val="000000"/>
          <w:sz w:val="24"/>
          <w:szCs w:val="24"/>
          <w:rtl/>
        </w:rPr>
        <w:t xml:space="preserve"> סצנות התאבדות ומעשים נוספים שאין להגדירם אלא כמטורפים לחלוטין והביאו אותי לסף התמוטטות</w:t>
      </w:r>
      <w:r w:rsidR="0058702E" w:rsidRPr="00503FA5">
        <w:rPr>
          <w:rFonts w:ascii="David" w:eastAsia="Times New Roman" w:hAnsi="David" w:cs="David"/>
          <w:color w:val="000000"/>
          <w:sz w:val="24"/>
          <w:szCs w:val="24"/>
          <w:rtl/>
        </w:rPr>
        <w:t>" (</w:t>
      </w:r>
      <w:r>
        <w:rPr>
          <w:rFonts w:ascii="David" w:eastAsia="Times New Roman" w:hAnsi="David" w:cs="David" w:hint="cs"/>
          <w:color w:val="000000"/>
          <w:sz w:val="24"/>
          <w:szCs w:val="24"/>
          <w:rtl/>
        </w:rPr>
        <w:t xml:space="preserve">ר' </w:t>
      </w:r>
      <w:r w:rsidR="0058702E" w:rsidRPr="00503FA5">
        <w:rPr>
          <w:rFonts w:ascii="David" w:eastAsia="Times New Roman" w:hAnsi="David" w:cs="David"/>
          <w:color w:val="000000"/>
          <w:sz w:val="24"/>
          <w:szCs w:val="24"/>
          <w:rtl/>
        </w:rPr>
        <w:t>סעיף 79 לתצהיר</w:t>
      </w:r>
      <w:r>
        <w:rPr>
          <w:rFonts w:ascii="David" w:eastAsia="Times New Roman" w:hAnsi="David" w:cs="David" w:hint="cs"/>
          <w:color w:val="000000"/>
          <w:sz w:val="24"/>
          <w:szCs w:val="24"/>
          <w:rtl/>
        </w:rPr>
        <w:t>ה</w:t>
      </w:r>
      <w:r w:rsidR="0058702E" w:rsidRPr="00503FA5">
        <w:rPr>
          <w:rFonts w:ascii="David" w:eastAsia="Times New Roman" w:hAnsi="David" w:cs="David"/>
          <w:color w:val="000000"/>
          <w:sz w:val="24"/>
          <w:szCs w:val="24"/>
          <w:rtl/>
        </w:rPr>
        <w:t>).</w:t>
      </w:r>
    </w:p>
    <w:p w:rsidR="00162199" w:rsidRPr="00FF53D9" w:rsidRDefault="00162199" w:rsidP="00162199">
      <w:pPr>
        <w:pStyle w:val="af0"/>
        <w:rPr>
          <w:rFonts w:ascii="David" w:eastAsia="Times New Roman" w:hAnsi="David" w:cs="David"/>
          <w:color w:val="000000"/>
          <w:sz w:val="16"/>
          <w:szCs w:val="16"/>
          <w:rtl/>
        </w:rPr>
      </w:pPr>
    </w:p>
    <w:p w:rsidR="00503FA5" w:rsidRDefault="00162199" w:rsidP="00162199">
      <w:pPr>
        <w:pStyle w:val="af0"/>
        <w:spacing w:line="360" w:lineRule="auto"/>
        <w:ind w:left="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ומיד לאחר מכן, היא מצהירה: </w:t>
      </w:r>
      <w:r w:rsidR="0058702E" w:rsidRPr="00162199">
        <w:rPr>
          <w:rFonts w:ascii="David" w:eastAsia="Times New Roman" w:hAnsi="David" w:cs="David"/>
          <w:color w:val="000000"/>
          <w:sz w:val="24"/>
          <w:szCs w:val="24"/>
          <w:u w:val="double"/>
          <w:rtl/>
        </w:rPr>
        <w:t>"</w:t>
      </w:r>
      <w:r w:rsidR="0058702E" w:rsidRPr="00162199">
        <w:rPr>
          <w:rFonts w:ascii="David" w:eastAsia="Times New Roman" w:hAnsi="David" w:cs="David"/>
          <w:b/>
          <w:bCs/>
          <w:color w:val="000000"/>
          <w:sz w:val="24"/>
          <w:szCs w:val="24"/>
          <w:u w:val="double"/>
          <w:rtl/>
        </w:rPr>
        <w:t>עד כדי כך הגיעו הדברים שקצינת בריאות הנפש בבסיס בו שירתתי הורתה למפקדיי שלא לאשר לי לצאת מהבסיס מחשש לשלומי"</w:t>
      </w:r>
      <w:r w:rsidR="0058702E" w:rsidRPr="00503FA5">
        <w:rPr>
          <w:rFonts w:ascii="David" w:eastAsia="Times New Roman" w:hAnsi="David" w:cs="David"/>
          <w:b/>
          <w:bCs/>
          <w:color w:val="000000"/>
          <w:sz w:val="24"/>
          <w:szCs w:val="24"/>
          <w:rtl/>
        </w:rPr>
        <w:t xml:space="preserve"> </w:t>
      </w:r>
      <w:r w:rsidR="0058702E" w:rsidRPr="00503FA5">
        <w:rPr>
          <w:rFonts w:ascii="David" w:eastAsia="Times New Roman" w:hAnsi="David" w:cs="David"/>
          <w:color w:val="000000"/>
          <w:sz w:val="24"/>
          <w:szCs w:val="24"/>
          <w:rtl/>
        </w:rPr>
        <w:t>(</w:t>
      </w:r>
      <w:r>
        <w:rPr>
          <w:rFonts w:ascii="David" w:eastAsia="Times New Roman" w:hAnsi="David" w:cs="David" w:hint="cs"/>
          <w:color w:val="000000"/>
          <w:sz w:val="24"/>
          <w:szCs w:val="24"/>
          <w:rtl/>
        </w:rPr>
        <w:t xml:space="preserve">ר' </w:t>
      </w:r>
      <w:r w:rsidR="0058702E" w:rsidRPr="00503FA5">
        <w:rPr>
          <w:rFonts w:ascii="David" w:eastAsia="Times New Roman" w:hAnsi="David" w:cs="David"/>
          <w:color w:val="000000"/>
          <w:sz w:val="24"/>
          <w:szCs w:val="24"/>
          <w:rtl/>
        </w:rPr>
        <w:t>סעיף 80 לתצהיר</w:t>
      </w:r>
      <w:r>
        <w:rPr>
          <w:rFonts w:ascii="David" w:eastAsia="Times New Roman" w:hAnsi="David" w:cs="David" w:hint="cs"/>
          <w:color w:val="000000"/>
          <w:sz w:val="24"/>
          <w:szCs w:val="24"/>
          <w:rtl/>
        </w:rPr>
        <w:t>ה</w:t>
      </w:r>
      <w:r w:rsidR="0058702E" w:rsidRPr="00503FA5">
        <w:rPr>
          <w:rFonts w:ascii="David" w:eastAsia="Times New Roman" w:hAnsi="David" w:cs="David"/>
          <w:color w:val="000000"/>
          <w:sz w:val="24"/>
          <w:szCs w:val="24"/>
          <w:rtl/>
        </w:rPr>
        <w:t>). התובעת העידה עוד כי בתום מסע הלחצים נשברה והנתבע הסיע אותה למשרד עו"ד שם חתמה על המסמכים בהוראת הנתבע ועו"ד מבלי שקראה מסמכים אלו (</w:t>
      </w:r>
      <w:r>
        <w:rPr>
          <w:rFonts w:ascii="David" w:eastAsia="Times New Roman" w:hAnsi="David" w:cs="David" w:hint="cs"/>
          <w:color w:val="000000"/>
          <w:sz w:val="24"/>
          <w:szCs w:val="24"/>
          <w:rtl/>
        </w:rPr>
        <w:t xml:space="preserve">ר' </w:t>
      </w:r>
      <w:r w:rsidR="0058702E" w:rsidRPr="00503FA5">
        <w:rPr>
          <w:rFonts w:ascii="David" w:eastAsia="Times New Roman" w:hAnsi="David" w:cs="David"/>
          <w:color w:val="000000"/>
          <w:sz w:val="24"/>
          <w:szCs w:val="24"/>
          <w:rtl/>
        </w:rPr>
        <w:t>סעיף 81 לתצהיר</w:t>
      </w:r>
      <w:r>
        <w:rPr>
          <w:rFonts w:ascii="David" w:eastAsia="Times New Roman" w:hAnsi="David" w:cs="David" w:hint="cs"/>
          <w:color w:val="000000"/>
          <w:sz w:val="24"/>
          <w:szCs w:val="24"/>
          <w:rtl/>
        </w:rPr>
        <w:t>ה</w:t>
      </w:r>
      <w:r w:rsidR="0058702E" w:rsidRPr="00503FA5">
        <w:rPr>
          <w:rFonts w:ascii="David" w:eastAsia="Times New Roman" w:hAnsi="David" w:cs="David"/>
          <w:color w:val="000000"/>
          <w:sz w:val="24"/>
          <w:szCs w:val="24"/>
          <w:rtl/>
        </w:rPr>
        <w:t xml:space="preserve">). </w:t>
      </w:r>
    </w:p>
    <w:p w:rsidR="00503FA5" w:rsidRPr="00C1765C" w:rsidRDefault="00503FA5" w:rsidP="00503FA5">
      <w:pPr>
        <w:pStyle w:val="af0"/>
        <w:rPr>
          <w:rFonts w:ascii="David" w:eastAsia="Times New Roman" w:hAnsi="David" w:cs="David"/>
          <w:color w:val="000000"/>
          <w:sz w:val="16"/>
          <w:szCs w:val="16"/>
          <w:rtl/>
        </w:rPr>
      </w:pPr>
    </w:p>
    <w:p w:rsidR="00503FA5" w:rsidRDefault="00503FA5" w:rsidP="00035058">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תיאור 'סוחט דמעות' זה התברר להיות המצאה אחת גדולה ובבחינת להד"מ, שכן </w:t>
      </w:r>
      <w:r w:rsidR="00162199">
        <w:rPr>
          <w:rFonts w:ascii="David" w:eastAsia="Times New Roman" w:hAnsi="David" w:cs="David" w:hint="cs"/>
          <w:color w:val="000000"/>
          <w:sz w:val="24"/>
          <w:szCs w:val="24"/>
          <w:rtl/>
        </w:rPr>
        <w:t xml:space="preserve">עלה </w:t>
      </w:r>
      <w:r>
        <w:rPr>
          <w:rFonts w:ascii="David" w:eastAsia="Times New Roman" w:hAnsi="David" w:cs="David" w:hint="cs"/>
          <w:color w:val="000000"/>
          <w:sz w:val="24"/>
          <w:szCs w:val="24"/>
          <w:rtl/>
        </w:rPr>
        <w:t xml:space="preserve">מחקירתה הנגדית של התובעת </w:t>
      </w:r>
      <w:r w:rsidRPr="00162199">
        <w:rPr>
          <w:rFonts w:ascii="David" w:eastAsia="Times New Roman" w:hAnsi="David" w:cs="David" w:hint="cs"/>
          <w:b/>
          <w:bCs/>
          <w:color w:val="000000"/>
          <w:sz w:val="24"/>
          <w:szCs w:val="24"/>
          <w:u w:val="double"/>
          <w:rtl/>
        </w:rPr>
        <w:t>כי היא השתחררה מצה"ל כשלושה חודשים טרם פטירת הסב המנוח</w:t>
      </w:r>
      <w:r>
        <w:rPr>
          <w:rFonts w:ascii="David" w:eastAsia="Times New Roman" w:hAnsi="David" w:cs="David" w:hint="cs"/>
          <w:color w:val="000000"/>
          <w:sz w:val="24"/>
          <w:szCs w:val="24"/>
          <w:rtl/>
        </w:rPr>
        <w:t xml:space="preserve"> </w:t>
      </w:r>
      <w:r w:rsidRPr="00035058">
        <w:rPr>
          <w:rFonts w:ascii="David" w:eastAsia="Times New Roman" w:hAnsi="David" w:cs="David" w:hint="cs"/>
          <w:sz w:val="24"/>
          <w:szCs w:val="24"/>
          <w:rtl/>
        </w:rPr>
        <w:t xml:space="preserve">(ר' עמ' </w:t>
      </w:r>
      <w:r w:rsidR="00035058" w:rsidRPr="00035058">
        <w:rPr>
          <w:rFonts w:ascii="David" w:eastAsia="Times New Roman" w:hAnsi="David" w:cs="David" w:hint="cs"/>
          <w:sz w:val="24"/>
          <w:szCs w:val="24"/>
          <w:rtl/>
        </w:rPr>
        <w:t>34</w:t>
      </w:r>
      <w:r w:rsidRPr="00035058">
        <w:rPr>
          <w:rFonts w:ascii="David" w:eastAsia="Times New Roman" w:hAnsi="David" w:cs="David" w:hint="cs"/>
          <w:sz w:val="24"/>
          <w:szCs w:val="24"/>
          <w:rtl/>
        </w:rPr>
        <w:t xml:space="preserve">, ש' </w:t>
      </w:r>
      <w:r w:rsidR="00035058" w:rsidRPr="00035058">
        <w:rPr>
          <w:rFonts w:ascii="David" w:eastAsia="Times New Roman" w:hAnsi="David" w:cs="David" w:hint="cs"/>
          <w:sz w:val="24"/>
          <w:szCs w:val="24"/>
          <w:rtl/>
        </w:rPr>
        <w:t>1-15</w:t>
      </w:r>
      <w:r w:rsidRPr="00035058">
        <w:rPr>
          <w:rFonts w:ascii="David" w:eastAsia="Times New Roman" w:hAnsi="David" w:cs="David" w:hint="cs"/>
          <w:sz w:val="24"/>
          <w:szCs w:val="24"/>
          <w:rtl/>
        </w:rPr>
        <w:t>).</w:t>
      </w:r>
    </w:p>
    <w:p w:rsidR="00621ACD" w:rsidRPr="00C1765C" w:rsidRDefault="00621ACD" w:rsidP="00621ACD">
      <w:pPr>
        <w:pStyle w:val="af0"/>
        <w:spacing w:line="360" w:lineRule="auto"/>
        <w:ind w:left="567"/>
        <w:jc w:val="both"/>
        <w:rPr>
          <w:rFonts w:ascii="David" w:eastAsia="Times New Roman" w:hAnsi="David" w:cs="David"/>
          <w:color w:val="000000"/>
          <w:sz w:val="16"/>
          <w:szCs w:val="16"/>
        </w:rPr>
      </w:pPr>
    </w:p>
    <w:p w:rsidR="00621ACD" w:rsidRDefault="00621ACD" w:rsidP="00621ACD">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וכעת ישאל התם, כיצד זה שכל אותן עוולות מסמרות שיער אלו בוצעו כלפי התובעת על מנת שתחתום על הסתלקות מצוואת הסב, טרם שזה נאסף אל אבותיו?! למען הסר ספק, לחלוטין לא התרשמתי כי עדותה זו של התובעת הייתה בבחינת טעות בתום לב בזמנים, אלא בבחינת הצהרות שקריות כחלק מנראטיב כלשהו שנבנה ו/או הוזן ו/או טופח ברבות השנים אשר חלק בלתי נפרד ממנו הוא תיאורו של האב כמי שמייצג את הרוע בהתגלמותו.</w:t>
      </w:r>
    </w:p>
    <w:p w:rsidR="000942F0" w:rsidRDefault="000942F0" w:rsidP="000942F0">
      <w:pPr>
        <w:pStyle w:val="af0"/>
        <w:rPr>
          <w:rFonts w:ascii="David" w:eastAsia="Times New Roman" w:hAnsi="David" w:cs="David"/>
          <w:color w:val="000000"/>
          <w:sz w:val="24"/>
          <w:szCs w:val="24"/>
          <w:rtl/>
        </w:rPr>
      </w:pPr>
    </w:p>
    <w:p w:rsidR="000942F0" w:rsidRDefault="000942F0" w:rsidP="000942F0">
      <w:pPr>
        <w:pStyle w:val="af0"/>
        <w:rPr>
          <w:rFonts w:ascii="David" w:eastAsia="Times New Roman" w:hAnsi="David" w:cs="David"/>
          <w:color w:val="000000"/>
          <w:sz w:val="24"/>
          <w:szCs w:val="24"/>
          <w:rtl/>
        </w:rPr>
      </w:pPr>
    </w:p>
    <w:p w:rsidR="000942F0" w:rsidRDefault="000942F0" w:rsidP="000942F0">
      <w:pPr>
        <w:pStyle w:val="af0"/>
        <w:rPr>
          <w:rFonts w:ascii="David" w:eastAsia="Times New Roman" w:hAnsi="David" w:cs="David"/>
          <w:color w:val="000000"/>
          <w:sz w:val="24"/>
          <w:szCs w:val="24"/>
          <w:rtl/>
        </w:rPr>
      </w:pPr>
    </w:p>
    <w:p w:rsidR="000942F0" w:rsidRPr="000942F0" w:rsidRDefault="000942F0" w:rsidP="000942F0">
      <w:pPr>
        <w:pStyle w:val="af0"/>
        <w:rPr>
          <w:rFonts w:ascii="David" w:eastAsia="Times New Roman" w:hAnsi="David" w:cs="David"/>
          <w:color w:val="000000"/>
          <w:sz w:val="24"/>
          <w:szCs w:val="24"/>
          <w:rtl/>
        </w:rPr>
      </w:pPr>
    </w:p>
    <w:p w:rsidR="00736DE1" w:rsidRPr="00736DE1" w:rsidRDefault="000942F0" w:rsidP="00D80559">
      <w:pPr>
        <w:pStyle w:val="af0"/>
        <w:numPr>
          <w:ilvl w:val="0"/>
          <w:numId w:val="1"/>
        </w:numPr>
        <w:spacing w:line="360" w:lineRule="auto"/>
        <w:ind w:left="567" w:hanging="567"/>
        <w:jc w:val="both"/>
        <w:rPr>
          <w:rFonts w:ascii="David" w:eastAsia="Times New Roman" w:hAnsi="David" w:cs="David"/>
          <w:color w:val="000000"/>
          <w:sz w:val="24"/>
          <w:szCs w:val="24"/>
        </w:rPr>
      </w:pPr>
      <w:r w:rsidRPr="000942F0">
        <w:rPr>
          <w:rFonts w:ascii="David" w:hAnsi="David" w:cs="David"/>
          <w:sz w:val="24"/>
          <w:szCs w:val="24"/>
          <w:rtl/>
        </w:rPr>
        <w:lastRenderedPageBreak/>
        <w:t>למעלה מן הצורך ואך כדי להראות את מופרכות התביעה, הרי שאף אם תאמר כי ה</w:t>
      </w:r>
      <w:r>
        <w:rPr>
          <w:rFonts w:ascii="David" w:hAnsi="David" w:cs="David" w:hint="cs"/>
          <w:sz w:val="24"/>
          <w:szCs w:val="24"/>
          <w:rtl/>
        </w:rPr>
        <w:t>חתימה על תצהיר ההסתלקות א</w:t>
      </w:r>
      <w:r w:rsidRPr="000942F0">
        <w:rPr>
          <w:rFonts w:ascii="David" w:hAnsi="David" w:cs="David"/>
          <w:sz w:val="24"/>
          <w:szCs w:val="24"/>
          <w:rtl/>
        </w:rPr>
        <w:t xml:space="preserve">כן נכפה על </w:t>
      </w:r>
      <w:r>
        <w:rPr>
          <w:rFonts w:ascii="David" w:hAnsi="David" w:cs="David" w:hint="cs"/>
          <w:sz w:val="24"/>
          <w:szCs w:val="24"/>
          <w:rtl/>
        </w:rPr>
        <w:t>התובעת</w:t>
      </w:r>
      <w:r w:rsidRPr="000942F0">
        <w:rPr>
          <w:rFonts w:ascii="David" w:hAnsi="David" w:cs="David"/>
          <w:sz w:val="24"/>
          <w:szCs w:val="24"/>
          <w:rtl/>
        </w:rPr>
        <w:t xml:space="preserve"> וכי ה</w:t>
      </w:r>
      <w:r>
        <w:rPr>
          <w:rFonts w:ascii="David" w:hAnsi="David" w:cs="David" w:hint="cs"/>
          <w:sz w:val="24"/>
          <w:szCs w:val="24"/>
          <w:rtl/>
        </w:rPr>
        <w:t>י</w:t>
      </w:r>
      <w:r w:rsidRPr="000942F0">
        <w:rPr>
          <w:rFonts w:ascii="David" w:hAnsi="David" w:cs="David"/>
          <w:sz w:val="24"/>
          <w:szCs w:val="24"/>
          <w:rtl/>
        </w:rPr>
        <w:t>א נעשק</w:t>
      </w:r>
      <w:r>
        <w:rPr>
          <w:rFonts w:ascii="David" w:hAnsi="David" w:cs="David" w:hint="cs"/>
          <w:sz w:val="24"/>
          <w:szCs w:val="24"/>
          <w:rtl/>
        </w:rPr>
        <w:t>ה</w:t>
      </w:r>
      <w:r w:rsidRPr="000942F0">
        <w:rPr>
          <w:rFonts w:ascii="David" w:hAnsi="David" w:cs="David"/>
          <w:sz w:val="24"/>
          <w:szCs w:val="24"/>
          <w:rtl/>
        </w:rPr>
        <w:t>, נזכיר כי אמנם הוראת סעיף 17 לחוק החוזים</w:t>
      </w:r>
      <w:r w:rsidR="00D80559">
        <w:rPr>
          <w:rFonts w:ascii="David" w:hAnsi="David" w:cs="David" w:hint="cs"/>
          <w:sz w:val="24"/>
          <w:szCs w:val="24"/>
          <w:rtl/>
        </w:rPr>
        <w:t xml:space="preserve"> (חלק כללי), תשל"ג 1973 (להלן: </w:t>
      </w:r>
      <w:r w:rsidR="00D80559" w:rsidRPr="00D80559">
        <w:rPr>
          <w:rFonts w:ascii="Miriam" w:hAnsi="Miriam" w:cs="Miriam"/>
          <w:b/>
          <w:bCs/>
          <w:rtl/>
        </w:rPr>
        <w:t>חוק החוזים</w:t>
      </w:r>
      <w:r w:rsidR="00D80559">
        <w:rPr>
          <w:rFonts w:ascii="David" w:hAnsi="David" w:cs="David" w:hint="cs"/>
          <w:sz w:val="24"/>
          <w:szCs w:val="24"/>
          <w:rtl/>
        </w:rPr>
        <w:t>),</w:t>
      </w:r>
      <w:r w:rsidRPr="000942F0">
        <w:rPr>
          <w:rFonts w:ascii="David" w:hAnsi="David" w:cs="David"/>
          <w:sz w:val="24"/>
          <w:szCs w:val="24"/>
          <w:rtl/>
        </w:rPr>
        <w:t xml:space="preserve"> מאפשרת לצד הנכפה לבטל את החוזה, והוראת סעיף 18 לחוק החוזים מאפשרת אף היא ביטול החוזה מאת הצד, אשר התקשר בחוזה עקב ניצול (תוך הוכחת תנאים נוספים), אולם הוראת סעיף 20 לחוק החוזים מציבה דרישה כי הביטול יהיה תוך </w:t>
      </w:r>
      <w:r w:rsidRPr="000942F0">
        <w:rPr>
          <w:rFonts w:ascii="David" w:hAnsi="David" w:cs="David"/>
          <w:i/>
          <w:iCs/>
          <w:sz w:val="24"/>
          <w:szCs w:val="24"/>
          <w:rtl/>
        </w:rPr>
        <w:t>זמן סביר</w:t>
      </w:r>
      <w:r w:rsidRPr="000942F0">
        <w:rPr>
          <w:rFonts w:ascii="David" w:hAnsi="David" w:cs="David"/>
          <w:sz w:val="24"/>
          <w:szCs w:val="24"/>
          <w:rtl/>
        </w:rPr>
        <w:t xml:space="preserve"> לאחר שנודע למבטל על עילת הביטול, ובמקרה של כפיה – תוך פרק זמן סביר לאחר שנודע לו שפסקה הכפייה (ראה גם: ע"א 6094/03 </w:t>
      </w:r>
      <w:r w:rsidRPr="000942F0">
        <w:rPr>
          <w:rFonts w:ascii="David" w:hAnsi="David" w:cs="David"/>
          <w:b/>
          <w:bCs/>
          <w:sz w:val="24"/>
          <w:szCs w:val="24"/>
          <w:rtl/>
        </w:rPr>
        <w:t>זאב שמעון נ' שאול בוקריץ</w:t>
      </w:r>
      <w:r w:rsidRPr="000942F0">
        <w:rPr>
          <w:rFonts w:ascii="David" w:hAnsi="David" w:cs="David"/>
          <w:sz w:val="24"/>
          <w:szCs w:val="24"/>
          <w:rtl/>
        </w:rPr>
        <w:t xml:space="preserve"> (נבו, 22.3.05)). הפסיקה קבעה כי סבירות הזמן בו ניתנת הודעת הביטול, תיבחן לפי מכלול נסיבותיו של כל מקרה ומקרה (ראה: ע"א 395/83 </w:t>
      </w:r>
      <w:r w:rsidRPr="000942F0">
        <w:rPr>
          <w:rFonts w:ascii="David" w:hAnsi="David" w:cs="David"/>
          <w:b/>
          <w:bCs/>
          <w:sz w:val="24"/>
          <w:szCs w:val="24"/>
          <w:rtl/>
        </w:rPr>
        <w:t>שלום נ' יכין חק"ל</w:t>
      </w:r>
      <w:r w:rsidRPr="000942F0">
        <w:rPr>
          <w:rFonts w:ascii="David" w:hAnsi="David" w:cs="David"/>
          <w:sz w:val="24"/>
          <w:szCs w:val="24"/>
          <w:rtl/>
        </w:rPr>
        <w:t xml:space="preserve"> (נבו, 15.7.85)) יצויין כי בע"א 6094/03 הנ"ל, נשלחה הודעת ביטול לאחר כשנה מגילוי "התרמית" הנטענת, ועל פרק זמן זה קבע בית המשפט העליון: </w:t>
      </w:r>
      <w:r w:rsidRPr="000942F0">
        <w:rPr>
          <w:rFonts w:ascii="David" w:hAnsi="David" w:cs="David"/>
          <w:b/>
          <w:bCs/>
          <w:sz w:val="24"/>
          <w:szCs w:val="24"/>
          <w:rtl/>
        </w:rPr>
        <w:t>"נראה, כי אין צורך להכביר במילים כי זמן זה אינו עולה בקנה אחד עם דרישת הזמן הסביר מאז שנודע למערערים דבר ההטעיה, כטענתם"</w:t>
      </w:r>
      <w:r w:rsidRPr="000942F0">
        <w:rPr>
          <w:rFonts w:ascii="David" w:hAnsi="David" w:cs="David"/>
          <w:sz w:val="24"/>
          <w:szCs w:val="24"/>
          <w:rtl/>
        </w:rPr>
        <w:t xml:space="preserve"> (שם, סעיף 20 לפסק הדין).</w:t>
      </w:r>
      <w:r>
        <w:rPr>
          <w:rFonts w:ascii="David" w:hAnsi="David" w:cs="David" w:hint="cs"/>
          <w:sz w:val="24"/>
          <w:szCs w:val="24"/>
          <w:rtl/>
        </w:rPr>
        <w:t xml:space="preserve"> במקרה דנן, נזכיר פעם נוספת, אין מדובר אפילו בשנה שלמה, אלא בלא פחות מ 16 שנים של </w:t>
      </w:r>
      <w:r w:rsidR="00736DE1">
        <w:rPr>
          <w:rFonts w:ascii="David" w:hAnsi="David" w:cs="David" w:hint="cs"/>
          <w:sz w:val="24"/>
          <w:szCs w:val="24"/>
          <w:rtl/>
        </w:rPr>
        <w:t>אפס מעשה.</w:t>
      </w:r>
    </w:p>
    <w:p w:rsidR="00621ACD" w:rsidRPr="00736DE1" w:rsidRDefault="00621ACD" w:rsidP="00621ACD">
      <w:pPr>
        <w:pStyle w:val="af0"/>
        <w:rPr>
          <w:rFonts w:ascii="David" w:eastAsia="Times New Roman" w:hAnsi="David" w:cs="David"/>
          <w:color w:val="000000"/>
          <w:sz w:val="16"/>
          <w:szCs w:val="16"/>
          <w:rtl/>
        </w:rPr>
      </w:pPr>
    </w:p>
    <w:p w:rsidR="00621ACD" w:rsidRPr="00C1765C" w:rsidRDefault="00C1765C" w:rsidP="00FF53D9">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ביני לביני, מאחר וליבת התביעה היא מה אירע </w:t>
      </w:r>
      <w:r w:rsidR="00FF53D9">
        <w:rPr>
          <w:rFonts w:ascii="David" w:eastAsia="Times New Roman" w:hAnsi="David" w:cs="David" w:hint="cs"/>
          <w:color w:val="000000"/>
          <w:sz w:val="24"/>
          <w:szCs w:val="24"/>
          <w:rtl/>
        </w:rPr>
        <w:t xml:space="preserve">או </w:t>
      </w:r>
      <w:r>
        <w:rPr>
          <w:rFonts w:ascii="David" w:eastAsia="Times New Roman" w:hAnsi="David" w:cs="David" w:hint="cs"/>
          <w:color w:val="000000"/>
          <w:sz w:val="24"/>
          <w:szCs w:val="24"/>
          <w:rtl/>
        </w:rPr>
        <w:t>לא אירע בזמן החתימה על תצהיר ההסתלקות, ומאחר ומסקנתי הברורה היא כי מדובר בשקרים גסים, יכולתי לדחות את התביעה כולה על יסוד האמו</w:t>
      </w:r>
      <w:r w:rsidRPr="00C1765C">
        <w:rPr>
          <w:rFonts w:ascii="David" w:eastAsia="Times New Roman" w:hAnsi="David" w:cs="David"/>
          <w:color w:val="000000"/>
          <w:sz w:val="24"/>
          <w:szCs w:val="24"/>
          <w:rtl/>
        </w:rPr>
        <w:t xml:space="preserve">ר בע"א 765/18 </w:t>
      </w:r>
      <w:r w:rsidRPr="00C1765C">
        <w:rPr>
          <w:rFonts w:ascii="David" w:eastAsia="Times New Roman" w:hAnsi="David" w:cs="David"/>
          <w:b/>
          <w:bCs/>
          <w:color w:val="000000"/>
          <w:sz w:val="24"/>
          <w:szCs w:val="24"/>
          <w:rtl/>
        </w:rPr>
        <w:t>שמואל חיון נ' אלעד חיון</w:t>
      </w:r>
      <w:r w:rsidRPr="00C1765C">
        <w:rPr>
          <w:rFonts w:ascii="David" w:eastAsia="Times New Roman" w:hAnsi="David" w:cs="David"/>
          <w:color w:val="000000"/>
          <w:sz w:val="24"/>
          <w:szCs w:val="24"/>
          <w:rtl/>
        </w:rPr>
        <w:t xml:space="preserve"> (נבו, 1.5.2019), בו נקבע: </w:t>
      </w:r>
      <w:r w:rsidRPr="00C1765C">
        <w:rPr>
          <w:rFonts w:ascii="David" w:eastAsia="Times New Roman" w:hAnsi="David" w:cs="David"/>
          <w:b/>
          <w:bCs/>
          <w:color w:val="000000"/>
          <w:sz w:val="24"/>
          <w:szCs w:val="24"/>
          <w:rtl/>
        </w:rPr>
        <w:t>"</w:t>
      </w:r>
      <w:r w:rsidR="00621ACD" w:rsidRPr="00C1765C">
        <w:rPr>
          <w:rFonts w:ascii="David" w:hAnsi="David" w:cs="David"/>
          <w:b/>
          <w:bCs/>
          <w:sz w:val="24"/>
          <w:szCs w:val="24"/>
          <w:rtl/>
        </w:rPr>
        <w:t>סבורני, כי שקרים אלו של בעל דין הנוגעים לעניינים המצויים בליבת המחלוקת – הם לבדם – צריכים היו לשמש בסיס לדחיית תביעתו ללא צורך בניתוח ראיות נוספות. דחיית התביעה בשל שקרים אלו היתה – ועודנה – תוצאה מתחייבת לנוכח שלושה כללים שעניינם פרוצדורה וראיות. מדובר בכללים ידועים ומושרשים, אך הפעלתם נתונה במידה רבה לשיקול דעתה של הערכאה הדיונית, ומסיבה זו – כך נראה לי – היא לא יצרה עדיין נורמות כלליות ותקדימים מחייבים</w:t>
      </w:r>
      <w:r w:rsidRPr="00C1765C">
        <w:rPr>
          <w:rFonts w:ascii="David" w:hAnsi="David" w:cs="David"/>
          <w:b/>
          <w:bCs/>
          <w:sz w:val="24"/>
          <w:szCs w:val="24"/>
          <w:rtl/>
        </w:rPr>
        <w:t>"</w:t>
      </w:r>
      <w:r w:rsidRPr="00C1765C">
        <w:rPr>
          <w:rFonts w:ascii="David" w:hAnsi="David" w:cs="David"/>
          <w:sz w:val="24"/>
          <w:szCs w:val="24"/>
          <w:rtl/>
        </w:rPr>
        <w:t xml:space="preserve"> (שם, פסקה 26 לפסק הדין)</w:t>
      </w:r>
      <w:r w:rsidR="00621ACD">
        <w:rPr>
          <w:rtl/>
        </w:rPr>
        <w:t xml:space="preserve">.   </w:t>
      </w:r>
    </w:p>
    <w:p w:rsidR="00503FA5" w:rsidRPr="00C1765C" w:rsidRDefault="00503FA5" w:rsidP="00503FA5">
      <w:pPr>
        <w:pStyle w:val="af0"/>
        <w:rPr>
          <w:rFonts w:ascii="David" w:eastAsia="Times New Roman" w:hAnsi="David" w:cs="David"/>
          <w:color w:val="000000"/>
          <w:sz w:val="16"/>
          <w:szCs w:val="16"/>
          <w:rtl/>
        </w:rPr>
      </w:pPr>
    </w:p>
    <w:p w:rsidR="0058702E" w:rsidRPr="00B57960" w:rsidRDefault="0058702E" w:rsidP="00503FA5">
      <w:pPr>
        <w:pStyle w:val="af0"/>
        <w:numPr>
          <w:ilvl w:val="0"/>
          <w:numId w:val="1"/>
        </w:numPr>
        <w:spacing w:line="360" w:lineRule="auto"/>
        <w:ind w:left="567" w:hanging="567"/>
        <w:jc w:val="both"/>
        <w:rPr>
          <w:rFonts w:ascii="David" w:eastAsia="Times New Roman" w:hAnsi="David" w:cs="David"/>
          <w:color w:val="000000"/>
          <w:sz w:val="24"/>
          <w:szCs w:val="24"/>
        </w:rPr>
      </w:pPr>
      <w:r w:rsidRPr="00503FA5">
        <w:rPr>
          <w:rFonts w:ascii="David" w:hAnsi="David" w:cs="David"/>
          <w:color w:val="000000"/>
          <w:sz w:val="24"/>
          <w:szCs w:val="24"/>
          <w:rtl/>
        </w:rPr>
        <w:t>עו"ד הר נבו בפניו חתמה התובעת על תצהיר ההסתלקות העיד בתצהירו כי הוא זה שערך את תצהיר ההסתלקות עליו חתמה התובעת (סעיף 4 לתצהיר</w:t>
      </w:r>
      <w:r w:rsidR="00C1765C">
        <w:rPr>
          <w:rFonts w:ascii="David" w:hAnsi="David" w:cs="David" w:hint="cs"/>
          <w:color w:val="000000"/>
          <w:sz w:val="24"/>
          <w:szCs w:val="24"/>
          <w:rtl/>
        </w:rPr>
        <w:t>ו</w:t>
      </w:r>
      <w:r w:rsidRPr="00503FA5">
        <w:rPr>
          <w:rFonts w:ascii="David" w:hAnsi="David" w:cs="David"/>
          <w:color w:val="000000"/>
          <w:sz w:val="24"/>
          <w:szCs w:val="24"/>
          <w:rtl/>
        </w:rPr>
        <w:t>); כי במהלך החתימה על תצהיר ההסתלקות הייתה התובעת במשרדו לבדה (סעיף 5 לתצהיר</w:t>
      </w:r>
      <w:r w:rsidR="00D80559">
        <w:rPr>
          <w:rFonts w:ascii="David" w:hAnsi="David" w:cs="David" w:hint="cs"/>
          <w:color w:val="000000"/>
          <w:sz w:val="24"/>
          <w:szCs w:val="24"/>
          <w:rtl/>
        </w:rPr>
        <w:t>,</w:t>
      </w:r>
      <w:r w:rsidRPr="00503FA5">
        <w:rPr>
          <w:rFonts w:ascii="David" w:hAnsi="David" w:cs="David"/>
          <w:color w:val="000000"/>
          <w:sz w:val="24"/>
          <w:szCs w:val="24"/>
          <w:rtl/>
        </w:rPr>
        <w:t xml:space="preserve"> וכן עדותו בעמ' 80</w:t>
      </w:r>
      <w:r w:rsidR="00D80559">
        <w:rPr>
          <w:rFonts w:ascii="David" w:hAnsi="David" w:cs="David" w:hint="cs"/>
          <w:color w:val="000000"/>
          <w:sz w:val="24"/>
          <w:szCs w:val="24"/>
          <w:rtl/>
        </w:rPr>
        <w:t>,</w:t>
      </w:r>
      <w:r w:rsidRPr="00503FA5">
        <w:rPr>
          <w:rFonts w:ascii="David" w:hAnsi="David" w:cs="David"/>
          <w:color w:val="000000"/>
          <w:sz w:val="24"/>
          <w:szCs w:val="24"/>
          <w:rtl/>
        </w:rPr>
        <w:t xml:space="preserve"> ש' 21). עוד העיד בתצהירו כי התובעת ביקשה להסתלק מעזבון המנוח כי לא הרגישה בנח מול שני אחיה, שקיבלו חלק קטן מעיזבונו (סעיף 6 לתצהיר</w:t>
      </w:r>
      <w:r w:rsidR="00C1765C">
        <w:rPr>
          <w:rFonts w:ascii="David" w:hAnsi="David" w:cs="David" w:hint="cs"/>
          <w:color w:val="000000"/>
          <w:sz w:val="24"/>
          <w:szCs w:val="24"/>
          <w:rtl/>
        </w:rPr>
        <w:t>ו</w:t>
      </w:r>
      <w:r w:rsidRPr="00503FA5">
        <w:rPr>
          <w:rFonts w:ascii="David" w:hAnsi="David" w:cs="David"/>
          <w:color w:val="000000"/>
          <w:sz w:val="24"/>
          <w:szCs w:val="24"/>
          <w:rtl/>
        </w:rPr>
        <w:t xml:space="preserve">) וכי עובר לחתימה על התצהיר הבהיר לתובעת את משמעות המשפטית של הסתלקותה (סעיף 7 לתצהירו). גרסתו זו לא הופכה ולא נסתרה על ידי התובעת. </w:t>
      </w:r>
      <w:r w:rsidR="00503FA5">
        <w:rPr>
          <w:rFonts w:ascii="David" w:hAnsi="David" w:cs="David" w:hint="cs"/>
          <w:color w:val="000000"/>
          <w:sz w:val="24"/>
          <w:szCs w:val="24"/>
          <w:rtl/>
        </w:rPr>
        <w:t>עו"ד הר נבו נשמע בפני, הוא שב על הדברים וסתר את טענותיה של התובעת בעניין זה. לאחר ששמעתי את העד, מצאתי ליתן בעדותו אמון רב.</w:t>
      </w:r>
    </w:p>
    <w:p w:rsidR="0058702E" w:rsidRDefault="0058702E" w:rsidP="0058702E">
      <w:pPr>
        <w:pStyle w:val="af0"/>
        <w:spacing w:after="0" w:line="330" w:lineRule="atLeast"/>
        <w:ind w:left="567"/>
        <w:jc w:val="both"/>
        <w:rPr>
          <w:rFonts w:ascii="David" w:hAnsi="David" w:cs="David"/>
          <w:color w:val="000000"/>
          <w:sz w:val="16"/>
          <w:szCs w:val="16"/>
          <w:rtl/>
        </w:rPr>
      </w:pPr>
    </w:p>
    <w:p w:rsidR="00736DE1" w:rsidRDefault="00736DE1" w:rsidP="0058702E">
      <w:pPr>
        <w:pStyle w:val="af0"/>
        <w:spacing w:after="0" w:line="330" w:lineRule="atLeast"/>
        <w:ind w:left="567"/>
        <w:jc w:val="both"/>
        <w:rPr>
          <w:rFonts w:ascii="David" w:hAnsi="David" w:cs="David"/>
          <w:color w:val="000000"/>
          <w:sz w:val="16"/>
          <w:szCs w:val="16"/>
          <w:rtl/>
        </w:rPr>
      </w:pPr>
    </w:p>
    <w:p w:rsidR="00736DE1" w:rsidRDefault="00736DE1" w:rsidP="0058702E">
      <w:pPr>
        <w:pStyle w:val="af0"/>
        <w:spacing w:after="0" w:line="330" w:lineRule="atLeast"/>
        <w:ind w:left="567"/>
        <w:jc w:val="both"/>
        <w:rPr>
          <w:rFonts w:ascii="David" w:hAnsi="David" w:cs="David"/>
          <w:color w:val="000000"/>
          <w:sz w:val="16"/>
          <w:szCs w:val="16"/>
          <w:rtl/>
        </w:rPr>
      </w:pPr>
    </w:p>
    <w:p w:rsidR="00736DE1" w:rsidRDefault="00736DE1" w:rsidP="0058702E">
      <w:pPr>
        <w:pStyle w:val="af0"/>
        <w:spacing w:after="0" w:line="330" w:lineRule="atLeast"/>
        <w:ind w:left="567"/>
        <w:jc w:val="both"/>
        <w:rPr>
          <w:rFonts w:ascii="David" w:hAnsi="David" w:cs="David"/>
          <w:color w:val="000000"/>
          <w:sz w:val="16"/>
          <w:szCs w:val="16"/>
          <w:rtl/>
        </w:rPr>
      </w:pPr>
    </w:p>
    <w:p w:rsidR="00736DE1" w:rsidRPr="00B57960" w:rsidRDefault="00736DE1" w:rsidP="0058702E">
      <w:pPr>
        <w:pStyle w:val="af0"/>
        <w:spacing w:after="0" w:line="330" w:lineRule="atLeast"/>
        <w:ind w:left="567"/>
        <w:jc w:val="both"/>
        <w:rPr>
          <w:rFonts w:ascii="David" w:hAnsi="David" w:cs="David"/>
          <w:color w:val="000000"/>
          <w:sz w:val="16"/>
          <w:szCs w:val="16"/>
        </w:rPr>
      </w:pPr>
    </w:p>
    <w:p w:rsidR="002914D6" w:rsidRPr="00C1765C" w:rsidRDefault="00B57960">
      <w:pPr>
        <w:spacing w:line="360" w:lineRule="auto"/>
        <w:jc w:val="both"/>
        <w:rPr>
          <w:rFonts w:ascii="Arial" w:hAnsi="Arial"/>
          <w:b/>
          <w:bCs/>
          <w:noProof w:val="0"/>
          <w:rtl/>
        </w:rPr>
      </w:pPr>
      <w:r w:rsidRPr="00C1765C">
        <w:rPr>
          <w:rFonts w:ascii="Arial" w:hAnsi="Arial" w:hint="cs"/>
          <w:b/>
          <w:bCs/>
          <w:noProof w:val="0"/>
          <w:rtl/>
        </w:rPr>
        <w:lastRenderedPageBreak/>
        <w:t xml:space="preserve">ד' </w:t>
      </w:r>
      <w:r w:rsidRPr="00C1765C">
        <w:rPr>
          <w:rFonts w:ascii="Arial" w:hAnsi="Arial"/>
          <w:b/>
          <w:bCs/>
          <w:noProof w:val="0"/>
          <w:rtl/>
        </w:rPr>
        <w:t>–</w:t>
      </w:r>
      <w:r w:rsidRPr="00C1765C">
        <w:rPr>
          <w:rFonts w:ascii="Arial" w:hAnsi="Arial" w:hint="cs"/>
          <w:b/>
          <w:bCs/>
          <w:noProof w:val="0"/>
          <w:rtl/>
        </w:rPr>
        <w:t xml:space="preserve"> סיכומם של דברים:</w:t>
      </w:r>
    </w:p>
    <w:p w:rsidR="00B57960" w:rsidRPr="00C1765C" w:rsidRDefault="00B57960">
      <w:pPr>
        <w:spacing w:line="360" w:lineRule="auto"/>
        <w:jc w:val="both"/>
        <w:rPr>
          <w:rFonts w:ascii="Arial" w:hAnsi="Arial"/>
          <w:noProof w:val="0"/>
          <w:sz w:val="16"/>
          <w:szCs w:val="16"/>
          <w:rtl/>
        </w:rPr>
      </w:pPr>
    </w:p>
    <w:p w:rsidR="00B57960" w:rsidRDefault="00B57960" w:rsidP="00B57960">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דינה של התובענה להידחות הן מחמת התיישנות והן לגופא, בהתאם לאמור בסעיף 72 לחוק. </w:t>
      </w:r>
    </w:p>
    <w:p w:rsidR="00B57960" w:rsidRPr="00C1765C" w:rsidRDefault="00B57960" w:rsidP="00B57960">
      <w:pPr>
        <w:pStyle w:val="af0"/>
        <w:spacing w:line="360" w:lineRule="auto"/>
        <w:ind w:left="567"/>
        <w:jc w:val="both"/>
        <w:rPr>
          <w:rFonts w:ascii="David" w:eastAsia="Times New Roman" w:hAnsi="David" w:cs="David"/>
          <w:color w:val="000000"/>
          <w:sz w:val="16"/>
          <w:szCs w:val="16"/>
        </w:rPr>
      </w:pPr>
    </w:p>
    <w:p w:rsidR="00B57960" w:rsidRPr="00FF53D9" w:rsidRDefault="00B57960" w:rsidP="00736DE1">
      <w:pPr>
        <w:pStyle w:val="af0"/>
        <w:numPr>
          <w:ilvl w:val="0"/>
          <w:numId w:val="1"/>
        </w:numPr>
        <w:spacing w:line="360" w:lineRule="auto"/>
        <w:ind w:left="567" w:hanging="567"/>
        <w:jc w:val="both"/>
        <w:rPr>
          <w:rFonts w:ascii="David" w:eastAsia="Times New Roman" w:hAnsi="David" w:cs="David"/>
          <w:color w:val="000000"/>
          <w:sz w:val="24"/>
          <w:szCs w:val="24"/>
        </w:rPr>
      </w:pPr>
      <w:r w:rsidRPr="00B57960">
        <w:rPr>
          <w:rFonts w:ascii="David" w:hAnsi="David" w:cs="David"/>
          <w:sz w:val="24"/>
          <w:szCs w:val="24"/>
          <w:rtl/>
        </w:rPr>
        <w:t>מידת האיחור בהגשת הבקשה ובהבאת העובדות ו/או הטענות בפני בית המשפט</w:t>
      </w:r>
      <w:r>
        <w:rPr>
          <w:rFonts w:ascii="David" w:hAnsi="David" w:cs="David" w:hint="cs"/>
          <w:sz w:val="24"/>
          <w:szCs w:val="24"/>
          <w:rtl/>
        </w:rPr>
        <w:t xml:space="preserve"> היא בלתי נסבלת ומנוגדת לדין ולכל היגיון משפטי, מה גם שלנוכח האיחור, נוצר קושי לברר את עובדות המקרה (נסיבות החתימה על תצהיר ההסתלקות) באופן </w:t>
      </w:r>
      <w:r w:rsidRPr="00736DE1">
        <w:rPr>
          <w:rFonts w:ascii="David" w:hAnsi="David" w:cs="David" w:hint="cs"/>
          <w:sz w:val="24"/>
          <w:szCs w:val="24"/>
          <w:rtl/>
        </w:rPr>
        <w:t>שיסייע</w:t>
      </w:r>
      <w:r>
        <w:rPr>
          <w:rFonts w:ascii="David" w:hAnsi="David" w:cs="David" w:hint="cs"/>
          <w:sz w:val="24"/>
          <w:szCs w:val="24"/>
          <w:rtl/>
        </w:rPr>
        <w:t xml:space="preserve"> </w:t>
      </w:r>
      <w:r w:rsidRPr="00736DE1">
        <w:rPr>
          <w:rFonts w:ascii="David" w:hAnsi="David" w:cs="David" w:hint="cs"/>
          <w:i/>
          <w:iCs/>
          <w:sz w:val="24"/>
          <w:szCs w:val="24"/>
          <w:rtl/>
        </w:rPr>
        <w:t>לתובעת</w:t>
      </w:r>
      <w:r>
        <w:rPr>
          <w:rFonts w:ascii="David" w:hAnsi="David" w:cs="David" w:hint="cs"/>
          <w:sz w:val="24"/>
          <w:szCs w:val="24"/>
          <w:rtl/>
        </w:rPr>
        <w:t xml:space="preserve"> להוכיח את טענותיה. למעלה מן הצורך, אזכיר כי </w:t>
      </w:r>
      <w:r w:rsidR="00C1765C">
        <w:rPr>
          <w:rFonts w:ascii="David" w:hAnsi="David" w:cs="David" w:hint="cs"/>
          <w:sz w:val="24"/>
          <w:szCs w:val="24"/>
          <w:rtl/>
        </w:rPr>
        <w:t>נ</w:t>
      </w:r>
      <w:r>
        <w:rPr>
          <w:rFonts w:ascii="David" w:hAnsi="David" w:cs="David" w:hint="cs"/>
          <w:sz w:val="24"/>
          <w:szCs w:val="24"/>
          <w:rtl/>
        </w:rPr>
        <w:t>סיבות המקרה התבררו כיום ולאחר שנתתי אמון בעדותו של עו"ד הר נבו, תוך שדחיתי את עדותה של התובעת, המסקנה הברורה היא כי התובעת כשלה כישלון ברור להוכחת תביעתה</w:t>
      </w:r>
      <w:r w:rsidR="00F75D8E">
        <w:rPr>
          <w:rFonts w:ascii="David" w:hAnsi="David" w:cs="David" w:hint="cs"/>
          <w:sz w:val="24"/>
          <w:szCs w:val="24"/>
          <w:rtl/>
        </w:rPr>
        <w:t>.</w:t>
      </w:r>
    </w:p>
    <w:p w:rsidR="00FF53D9" w:rsidRPr="00736DE1" w:rsidRDefault="00FF53D9" w:rsidP="00FF53D9">
      <w:pPr>
        <w:pStyle w:val="af0"/>
        <w:rPr>
          <w:rFonts w:ascii="David" w:eastAsia="Times New Roman" w:hAnsi="David" w:cs="David"/>
          <w:color w:val="000000"/>
          <w:sz w:val="16"/>
          <w:szCs w:val="16"/>
          <w:rtl/>
        </w:rPr>
      </w:pPr>
    </w:p>
    <w:p w:rsidR="00C34419" w:rsidRDefault="00FF53D9" w:rsidP="00C34419">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ובין לבין, העיד בפני גם הנתבע, האב. האב שב על האמור בכתב הגנתו ודחה את התיאורים הקשים שיוחסו לו. באופן מפ</w:t>
      </w:r>
      <w:r w:rsidR="00C34419">
        <w:rPr>
          <w:rFonts w:ascii="David" w:eastAsia="Times New Roman" w:hAnsi="David" w:cs="David" w:hint="cs"/>
          <w:color w:val="000000"/>
          <w:sz w:val="24"/>
          <w:szCs w:val="24"/>
          <w:rtl/>
        </w:rPr>
        <w:t>תיע, או שלא, חלק ניכר מחקירתו הנגדית של האב כוון למחוזות אחרים החורגים מההליך שבפני, וכך או כך, לא התרשמתי כי זה עשה מעשים, לא כל שכן, חמורים, שהיה בהם כדי להצדיק היעתרות לתובענה.</w:t>
      </w:r>
    </w:p>
    <w:p w:rsidR="00C34419" w:rsidRPr="00D510FF" w:rsidRDefault="00C34419" w:rsidP="00C34419">
      <w:pPr>
        <w:pStyle w:val="af0"/>
        <w:rPr>
          <w:rFonts w:ascii="David" w:eastAsia="Times New Roman" w:hAnsi="David" w:cs="David"/>
          <w:color w:val="000000"/>
          <w:sz w:val="16"/>
          <w:szCs w:val="16"/>
          <w:rtl/>
        </w:rPr>
      </w:pPr>
    </w:p>
    <w:p w:rsidR="00FF53D9" w:rsidRDefault="00C34419" w:rsidP="00D80559">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אף אחיה של התובעת העיד מטעמה, והתרשמתי מעדות מגמתית שנועדה להצדיק את הנראטיב של התובעת. כך לדוגמא, על מנת להשוות נופך של בית אימה (ביתם של ההורים), הצהיר העד כי </w:t>
      </w:r>
      <w:r w:rsidR="00D510FF">
        <w:rPr>
          <w:rFonts w:ascii="David" w:eastAsia="Times New Roman" w:hAnsi="David" w:cs="David" w:hint="cs"/>
          <w:color w:val="000000"/>
          <w:sz w:val="24"/>
          <w:szCs w:val="24"/>
          <w:rtl/>
        </w:rPr>
        <w:t>לא העז להביא את חברתו הביתה, ובחקירתו הנגדית הודה כי גרה עמו באותו בבית ממש חודשיים ימים (ר' והשווה: סעיף 45 לתצהירו ועמ' 5, ש' 3-9).</w:t>
      </w:r>
      <w:r>
        <w:rPr>
          <w:rFonts w:ascii="David" w:eastAsia="Times New Roman" w:hAnsi="David" w:cs="David" w:hint="cs"/>
          <w:color w:val="000000"/>
          <w:sz w:val="24"/>
          <w:szCs w:val="24"/>
          <w:rtl/>
        </w:rPr>
        <w:t xml:space="preserve"> </w:t>
      </w:r>
    </w:p>
    <w:p w:rsidR="00736DE1" w:rsidRPr="00736DE1" w:rsidRDefault="00736DE1" w:rsidP="00736DE1">
      <w:pPr>
        <w:pStyle w:val="af0"/>
        <w:spacing w:line="360" w:lineRule="auto"/>
        <w:ind w:left="567"/>
        <w:jc w:val="both"/>
        <w:rPr>
          <w:rFonts w:ascii="David" w:eastAsia="Times New Roman" w:hAnsi="David" w:cs="David"/>
          <w:color w:val="000000"/>
          <w:sz w:val="16"/>
          <w:szCs w:val="16"/>
        </w:rPr>
      </w:pPr>
    </w:p>
    <w:p w:rsidR="00D510FF" w:rsidRPr="00F75D8E" w:rsidRDefault="00D510FF" w:rsidP="00D07486">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העד טען לאורך כל תצהירו על מערכת היחסים הקשה בבית ההורים, דבר שלא מנע ממנו ל</w:t>
      </w:r>
      <w:r w:rsidR="00D07486">
        <w:rPr>
          <w:rFonts w:ascii="David" w:eastAsia="Times New Roman" w:hAnsi="David" w:cs="David" w:hint="cs"/>
          <w:color w:val="000000"/>
          <w:sz w:val="24"/>
          <w:szCs w:val="24"/>
          <w:rtl/>
        </w:rPr>
        <w:t xml:space="preserve">העיד בחקירתו הנגדית כי ביקש את קרבתו של האב גם לתמיכה כספית וגם לתמיכה נפשית (ר' עמ' 6 לפרוטוקול). לאחר ששמעתי את העד, לצערי הרב, אינני יכול ליתן אמון רב או אמון כלשהו בעדותו, מה גם שאף אם כל האמור בה היה אמת, אין בה כדי לסייע לתובעת לחלוף מעל המשוכה הגבוהה שהדין מציב בפניה בהליך שבפני. </w:t>
      </w:r>
      <w:r>
        <w:rPr>
          <w:rFonts w:ascii="David" w:eastAsia="Times New Roman" w:hAnsi="David" w:cs="David" w:hint="cs"/>
          <w:color w:val="000000"/>
          <w:sz w:val="24"/>
          <w:szCs w:val="24"/>
          <w:rtl/>
        </w:rPr>
        <w:t xml:space="preserve"> </w:t>
      </w:r>
    </w:p>
    <w:p w:rsidR="00F75D8E" w:rsidRPr="00C1765C" w:rsidRDefault="00F75D8E" w:rsidP="00F75D8E">
      <w:pPr>
        <w:pStyle w:val="af0"/>
        <w:rPr>
          <w:rFonts w:ascii="David" w:eastAsia="Times New Roman" w:hAnsi="David" w:cs="David"/>
          <w:color w:val="000000"/>
          <w:sz w:val="16"/>
          <w:szCs w:val="16"/>
          <w:rtl/>
        </w:rPr>
      </w:pPr>
    </w:p>
    <w:p w:rsidR="00F75D8E" w:rsidRDefault="00F75D8E" w:rsidP="00F75D8E">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במהלך בירור התובענה נחשפתי ליחסים רעועים ביותר בתוך המשפחה והתרשמתי כי האב חפץ מאד להשיב את היחסים על תיקונם ובתוך כך לפגוש בנכדיו (ילדיה של התובעת). ניסיונות רבים נעשו על ידי כדי להשכין שלום, כך שכל צד יוכל לזכות במשוא חפצו ולמצער, בחלקו, ולצערי, כל הניסיונות כשלו והחפץ להתעמק בנושא יישא עיניו לפרוטוקול. מכל מקום, בסופו של יום ארוך, ניתן פסק דין זה ומכאן ואילך, הכדור נמצא בידי הצדדים.</w:t>
      </w:r>
    </w:p>
    <w:p w:rsidR="006C1CD1" w:rsidRPr="00C1765C" w:rsidRDefault="006C1CD1" w:rsidP="00C1765C">
      <w:pPr>
        <w:pStyle w:val="af0"/>
        <w:rPr>
          <w:rFonts w:ascii="David" w:eastAsia="Times New Roman" w:hAnsi="David" w:cs="David"/>
          <w:color w:val="000000"/>
          <w:sz w:val="16"/>
          <w:szCs w:val="16"/>
          <w:rtl/>
        </w:rPr>
      </w:pPr>
    </w:p>
    <w:p w:rsidR="00FF53D9" w:rsidRDefault="00C1765C" w:rsidP="00736DE1">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t>האב, שאין צורך שאשוב על תיאוריה של הבת על אודותיו, לא עתר לחייב את ביתו בהוצאות משפט</w:t>
      </w:r>
      <w:r w:rsidR="00736DE1">
        <w:rPr>
          <w:rFonts w:ascii="David" w:eastAsia="Times New Roman" w:hAnsi="David" w:cs="David" w:hint="cs"/>
          <w:color w:val="000000"/>
          <w:sz w:val="24"/>
          <w:szCs w:val="24"/>
          <w:rtl/>
        </w:rPr>
        <w:t xml:space="preserve"> באופן מפורש</w:t>
      </w:r>
      <w:r>
        <w:rPr>
          <w:rFonts w:ascii="David" w:eastAsia="Times New Roman" w:hAnsi="David" w:cs="David" w:hint="cs"/>
          <w:color w:val="000000"/>
          <w:sz w:val="24"/>
          <w:szCs w:val="24"/>
          <w:rtl/>
        </w:rPr>
        <w:t xml:space="preserve">, </w:t>
      </w:r>
      <w:r w:rsidR="006C1CD1">
        <w:rPr>
          <w:rFonts w:ascii="David" w:eastAsia="Times New Roman" w:hAnsi="David" w:cs="David" w:hint="cs"/>
          <w:color w:val="000000"/>
          <w:sz w:val="24"/>
          <w:szCs w:val="24"/>
          <w:rtl/>
        </w:rPr>
        <w:t>ו</w:t>
      </w:r>
      <w:r w:rsidR="00FF53D9">
        <w:rPr>
          <w:rFonts w:ascii="David" w:eastAsia="Times New Roman" w:hAnsi="David" w:cs="David" w:hint="cs"/>
          <w:color w:val="000000"/>
          <w:sz w:val="24"/>
          <w:szCs w:val="24"/>
          <w:rtl/>
        </w:rPr>
        <w:t xml:space="preserve">יחד עם זאת, מצאתי לפסוק </w:t>
      </w:r>
      <w:r w:rsidR="00736DE1">
        <w:rPr>
          <w:rFonts w:ascii="David" w:eastAsia="Times New Roman" w:hAnsi="David" w:cs="David" w:hint="cs"/>
          <w:color w:val="000000"/>
          <w:sz w:val="24"/>
          <w:szCs w:val="24"/>
          <w:rtl/>
        </w:rPr>
        <w:t xml:space="preserve">את </w:t>
      </w:r>
      <w:r w:rsidR="00FF53D9">
        <w:rPr>
          <w:rFonts w:ascii="David" w:eastAsia="Times New Roman" w:hAnsi="David" w:cs="David" w:hint="cs"/>
          <w:color w:val="000000"/>
          <w:sz w:val="24"/>
          <w:szCs w:val="24"/>
          <w:rtl/>
        </w:rPr>
        <w:t xml:space="preserve">שכ"ט ב"כ בסך כולל 50,000 ₪. ירצה, </w:t>
      </w:r>
      <w:r w:rsidR="00736DE1">
        <w:rPr>
          <w:rFonts w:ascii="David" w:eastAsia="Times New Roman" w:hAnsi="David" w:cs="David" w:hint="cs"/>
          <w:color w:val="000000"/>
          <w:sz w:val="24"/>
          <w:szCs w:val="24"/>
          <w:rtl/>
        </w:rPr>
        <w:t>יפעל לגביית הסכום</w:t>
      </w:r>
      <w:r w:rsidR="00FF53D9">
        <w:rPr>
          <w:rFonts w:ascii="David" w:eastAsia="Times New Roman" w:hAnsi="David" w:cs="David" w:hint="cs"/>
          <w:color w:val="000000"/>
          <w:sz w:val="24"/>
          <w:szCs w:val="24"/>
          <w:rtl/>
        </w:rPr>
        <w:t xml:space="preserve">. לא ירצה, </w:t>
      </w:r>
      <w:r w:rsidR="00736DE1">
        <w:rPr>
          <w:rFonts w:ascii="David" w:eastAsia="Times New Roman" w:hAnsi="David" w:cs="David" w:hint="cs"/>
          <w:color w:val="000000"/>
          <w:sz w:val="24"/>
          <w:szCs w:val="24"/>
          <w:rtl/>
        </w:rPr>
        <w:t xml:space="preserve">לא יפעל לשם כך. </w:t>
      </w:r>
    </w:p>
    <w:p w:rsidR="00736DE1" w:rsidRDefault="00736DE1" w:rsidP="00F75D8E">
      <w:pPr>
        <w:pStyle w:val="af0"/>
        <w:rPr>
          <w:rFonts w:ascii="David" w:eastAsia="Times New Roman" w:hAnsi="David" w:cs="David"/>
          <w:color w:val="000000"/>
          <w:sz w:val="24"/>
          <w:szCs w:val="24"/>
          <w:rtl/>
        </w:rPr>
      </w:pPr>
    </w:p>
    <w:p w:rsidR="00736DE1" w:rsidRDefault="00736DE1" w:rsidP="00F75D8E">
      <w:pPr>
        <w:pStyle w:val="af0"/>
        <w:rPr>
          <w:rFonts w:ascii="David" w:eastAsia="Times New Roman" w:hAnsi="David" w:cs="David"/>
          <w:color w:val="000000"/>
          <w:sz w:val="24"/>
          <w:szCs w:val="24"/>
          <w:rtl/>
        </w:rPr>
      </w:pPr>
    </w:p>
    <w:p w:rsidR="00736DE1" w:rsidRDefault="00736DE1" w:rsidP="00F75D8E">
      <w:pPr>
        <w:pStyle w:val="af0"/>
        <w:rPr>
          <w:rFonts w:ascii="David" w:eastAsia="Times New Roman" w:hAnsi="David" w:cs="David"/>
          <w:color w:val="000000"/>
          <w:sz w:val="24"/>
          <w:szCs w:val="24"/>
          <w:rtl/>
        </w:rPr>
      </w:pPr>
    </w:p>
    <w:p w:rsidR="00736DE1" w:rsidRDefault="00736DE1" w:rsidP="00F75D8E">
      <w:pPr>
        <w:pStyle w:val="af0"/>
        <w:rPr>
          <w:rFonts w:ascii="David" w:eastAsia="Times New Roman" w:hAnsi="David" w:cs="David"/>
          <w:color w:val="000000"/>
          <w:sz w:val="24"/>
          <w:szCs w:val="24"/>
          <w:rtl/>
        </w:rPr>
      </w:pPr>
    </w:p>
    <w:p w:rsidR="00736DE1" w:rsidRPr="00F75D8E" w:rsidRDefault="00736DE1" w:rsidP="00F75D8E">
      <w:pPr>
        <w:pStyle w:val="af0"/>
        <w:rPr>
          <w:rFonts w:ascii="David" w:eastAsia="Times New Roman" w:hAnsi="David" w:cs="David"/>
          <w:color w:val="000000"/>
          <w:sz w:val="24"/>
          <w:szCs w:val="24"/>
          <w:rtl/>
        </w:rPr>
      </w:pPr>
    </w:p>
    <w:p w:rsidR="00F75D8E" w:rsidRDefault="00F75D8E" w:rsidP="00F75D8E">
      <w:pPr>
        <w:pStyle w:val="af0"/>
        <w:numPr>
          <w:ilvl w:val="0"/>
          <w:numId w:val="1"/>
        </w:numPr>
        <w:spacing w:line="360" w:lineRule="auto"/>
        <w:ind w:left="567" w:hanging="567"/>
        <w:jc w:val="both"/>
        <w:rPr>
          <w:rFonts w:ascii="David" w:eastAsia="Times New Roman" w:hAnsi="David" w:cs="David"/>
          <w:color w:val="000000"/>
          <w:sz w:val="24"/>
          <w:szCs w:val="24"/>
        </w:rPr>
      </w:pPr>
      <w:r>
        <w:rPr>
          <w:rFonts w:ascii="David" w:eastAsia="Times New Roman" w:hAnsi="David" w:cs="David" w:hint="cs"/>
          <w:color w:val="000000"/>
          <w:sz w:val="24"/>
          <w:szCs w:val="24"/>
          <w:rtl/>
        </w:rPr>
        <w:lastRenderedPageBreak/>
        <w:t>אשר על כן ומכל המקובץ לעיל, הריני לה</w:t>
      </w:r>
      <w:r w:rsidR="004D2AEB">
        <w:rPr>
          <w:rFonts w:ascii="David" w:eastAsia="Times New Roman" w:hAnsi="David" w:cs="David" w:hint="cs"/>
          <w:color w:val="000000"/>
          <w:sz w:val="24"/>
          <w:szCs w:val="24"/>
          <w:rtl/>
        </w:rPr>
        <w:t>ורות:</w:t>
      </w:r>
    </w:p>
    <w:p w:rsidR="00736DE1" w:rsidRPr="00736DE1" w:rsidRDefault="00736DE1" w:rsidP="00736DE1">
      <w:pPr>
        <w:pStyle w:val="af0"/>
        <w:spacing w:line="360" w:lineRule="auto"/>
        <w:ind w:left="1080"/>
        <w:jc w:val="both"/>
        <w:rPr>
          <w:rFonts w:ascii="David" w:eastAsia="Times New Roman" w:hAnsi="David" w:cs="David"/>
          <w:color w:val="000000"/>
          <w:sz w:val="16"/>
          <w:szCs w:val="16"/>
        </w:rPr>
      </w:pPr>
    </w:p>
    <w:p w:rsidR="00F75D8E" w:rsidRDefault="004D2AEB" w:rsidP="004D2AEB">
      <w:pPr>
        <w:pStyle w:val="af0"/>
        <w:numPr>
          <w:ilvl w:val="0"/>
          <w:numId w:val="7"/>
        </w:numPr>
        <w:spacing w:line="360" w:lineRule="auto"/>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הבקשה להורות על ביטול תצהיר ההסתלקות </w:t>
      </w:r>
      <w:r w:rsidR="00736DE1">
        <w:rPr>
          <w:rFonts w:ascii="David" w:eastAsia="Times New Roman" w:hAnsi="David" w:cs="David" w:hint="cs"/>
          <w:color w:val="000000"/>
          <w:sz w:val="24"/>
          <w:szCs w:val="24"/>
          <w:rtl/>
        </w:rPr>
        <w:t xml:space="preserve">וכפועל יוצא להורות על ביטול צו קיום הצוואה </w:t>
      </w:r>
      <w:r>
        <w:rPr>
          <w:rFonts w:ascii="David" w:eastAsia="Times New Roman" w:hAnsi="David" w:cs="David"/>
          <w:color w:val="000000"/>
          <w:sz w:val="24"/>
          <w:szCs w:val="24"/>
          <w:rtl/>
        </w:rPr>
        <w:t>–</w:t>
      </w:r>
      <w:r>
        <w:rPr>
          <w:rFonts w:ascii="David" w:eastAsia="Times New Roman" w:hAnsi="David" w:cs="David" w:hint="cs"/>
          <w:color w:val="000000"/>
          <w:sz w:val="24"/>
          <w:szCs w:val="24"/>
          <w:rtl/>
        </w:rPr>
        <w:t xml:space="preserve"> נדחית בזאת.</w:t>
      </w:r>
    </w:p>
    <w:p w:rsidR="00736DE1" w:rsidRPr="00736DE1" w:rsidRDefault="00736DE1" w:rsidP="00736DE1">
      <w:pPr>
        <w:pStyle w:val="af0"/>
        <w:spacing w:line="360" w:lineRule="auto"/>
        <w:ind w:left="1080"/>
        <w:jc w:val="both"/>
        <w:rPr>
          <w:rFonts w:ascii="David" w:eastAsia="Times New Roman" w:hAnsi="David" w:cs="David"/>
          <w:color w:val="000000"/>
          <w:sz w:val="16"/>
          <w:szCs w:val="16"/>
        </w:rPr>
      </w:pPr>
    </w:p>
    <w:p w:rsidR="00D07486" w:rsidRDefault="00D07486" w:rsidP="00736DE1">
      <w:pPr>
        <w:pStyle w:val="af0"/>
        <w:numPr>
          <w:ilvl w:val="0"/>
          <w:numId w:val="7"/>
        </w:numPr>
        <w:spacing w:line="360" w:lineRule="auto"/>
        <w:jc w:val="both"/>
        <w:rPr>
          <w:rFonts w:ascii="David" w:eastAsia="Times New Roman" w:hAnsi="David" w:cs="David"/>
          <w:color w:val="000000"/>
          <w:sz w:val="24"/>
          <w:szCs w:val="24"/>
        </w:rPr>
      </w:pPr>
      <w:r>
        <w:rPr>
          <w:rFonts w:ascii="David" w:eastAsia="Times New Roman" w:hAnsi="David" w:cs="David" w:hint="cs"/>
          <w:color w:val="000000"/>
          <w:sz w:val="24"/>
          <w:szCs w:val="24"/>
          <w:rtl/>
        </w:rPr>
        <w:t>התובעת תשלם שכ"ט ב"כ ה</w:t>
      </w:r>
      <w:r w:rsidR="00736DE1">
        <w:rPr>
          <w:rFonts w:ascii="David" w:eastAsia="Times New Roman" w:hAnsi="David" w:cs="David" w:hint="cs"/>
          <w:color w:val="000000"/>
          <w:sz w:val="24"/>
          <w:szCs w:val="24"/>
          <w:rtl/>
        </w:rPr>
        <w:t xml:space="preserve">נתבע </w:t>
      </w:r>
      <w:r>
        <w:rPr>
          <w:rFonts w:ascii="David" w:eastAsia="Times New Roman" w:hAnsi="David" w:cs="David" w:hint="cs"/>
          <w:color w:val="000000"/>
          <w:sz w:val="24"/>
          <w:szCs w:val="24"/>
          <w:rtl/>
        </w:rPr>
        <w:t xml:space="preserve">בסך כולל של 50,000 ₪.  </w:t>
      </w:r>
    </w:p>
    <w:p w:rsidR="00736DE1" w:rsidRPr="00736DE1" w:rsidRDefault="00736DE1" w:rsidP="00736DE1">
      <w:pPr>
        <w:pStyle w:val="af0"/>
        <w:spacing w:line="360" w:lineRule="auto"/>
        <w:ind w:left="1080"/>
        <w:jc w:val="both"/>
        <w:rPr>
          <w:rFonts w:ascii="David" w:eastAsia="Times New Roman" w:hAnsi="David" w:cs="David"/>
          <w:color w:val="000000"/>
          <w:sz w:val="16"/>
          <w:szCs w:val="16"/>
        </w:rPr>
      </w:pPr>
    </w:p>
    <w:p w:rsidR="004D2AEB" w:rsidRDefault="006C1CD1" w:rsidP="004D2AEB">
      <w:pPr>
        <w:pStyle w:val="af0"/>
        <w:numPr>
          <w:ilvl w:val="0"/>
          <w:numId w:val="7"/>
        </w:numPr>
        <w:spacing w:line="360" w:lineRule="auto"/>
        <w:jc w:val="both"/>
        <w:rPr>
          <w:rFonts w:ascii="David" w:eastAsia="Times New Roman" w:hAnsi="David" w:cs="David"/>
          <w:color w:val="000000"/>
          <w:sz w:val="24"/>
          <w:szCs w:val="24"/>
        </w:rPr>
      </w:pPr>
      <w:r>
        <w:rPr>
          <w:rFonts w:ascii="David" w:eastAsia="Times New Roman" w:hAnsi="David" w:cs="David" w:hint="cs"/>
          <w:color w:val="000000"/>
          <w:sz w:val="24"/>
          <w:szCs w:val="24"/>
          <w:rtl/>
        </w:rPr>
        <w:t>פסד הדין מותר בפרסום בהשמטת פרטים מזהים.</w:t>
      </w:r>
    </w:p>
    <w:p w:rsidR="00736DE1" w:rsidRPr="00736DE1" w:rsidRDefault="00736DE1" w:rsidP="00736DE1">
      <w:pPr>
        <w:pStyle w:val="af0"/>
        <w:spacing w:line="360" w:lineRule="auto"/>
        <w:ind w:left="1080"/>
        <w:jc w:val="both"/>
        <w:rPr>
          <w:rFonts w:ascii="David" w:eastAsia="Times New Roman" w:hAnsi="David" w:cs="David"/>
          <w:color w:val="000000"/>
          <w:sz w:val="16"/>
          <w:szCs w:val="16"/>
        </w:rPr>
      </w:pPr>
    </w:p>
    <w:p w:rsidR="006C1CD1" w:rsidRDefault="006C1CD1" w:rsidP="004D2AEB">
      <w:pPr>
        <w:pStyle w:val="af0"/>
        <w:numPr>
          <w:ilvl w:val="0"/>
          <w:numId w:val="7"/>
        </w:numPr>
        <w:spacing w:line="360" w:lineRule="auto"/>
        <w:jc w:val="both"/>
        <w:rPr>
          <w:rFonts w:ascii="David" w:eastAsia="Times New Roman" w:hAnsi="David" w:cs="David"/>
          <w:color w:val="000000"/>
          <w:sz w:val="24"/>
          <w:szCs w:val="24"/>
        </w:rPr>
      </w:pPr>
      <w:r>
        <w:rPr>
          <w:rFonts w:ascii="David" w:eastAsia="Times New Roman" w:hAnsi="David" w:cs="David" w:hint="cs"/>
          <w:color w:val="000000"/>
          <w:sz w:val="24"/>
          <w:szCs w:val="24"/>
          <w:rtl/>
        </w:rPr>
        <w:t>התיק ייסגר.</w:t>
      </w:r>
    </w:p>
    <w:p w:rsidR="00736DE1" w:rsidRPr="00736DE1" w:rsidRDefault="00736DE1" w:rsidP="00736DE1">
      <w:pPr>
        <w:pStyle w:val="af0"/>
        <w:rPr>
          <w:rFonts w:ascii="David" w:eastAsia="Times New Roman" w:hAnsi="David" w:cs="David"/>
          <w:color w:val="000000"/>
          <w:sz w:val="24"/>
          <w:szCs w:val="24"/>
          <w:rtl/>
        </w:rPr>
      </w:pPr>
    </w:p>
    <w:p w:rsidR="00736DE1" w:rsidRDefault="00736DE1" w:rsidP="00736DE1">
      <w:pPr>
        <w:spacing w:line="360" w:lineRule="auto"/>
        <w:jc w:val="both"/>
        <w:rPr>
          <w:rFonts w:ascii="David" w:hAnsi="David"/>
          <w:color w:val="000000"/>
          <w:rtl/>
        </w:rPr>
      </w:pPr>
    </w:p>
    <w:p w:rsidR="00736DE1" w:rsidRPr="00736DE1" w:rsidRDefault="00736DE1" w:rsidP="00736DE1">
      <w:pPr>
        <w:spacing w:line="360" w:lineRule="auto"/>
        <w:jc w:val="both"/>
        <w:rPr>
          <w:rFonts w:ascii="David" w:hAnsi="David"/>
          <w:color w:val="000000"/>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כ"ו ניסן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17 אפריל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E17E36">
      <w:pPr>
        <w:spacing w:line="360" w:lineRule="auto"/>
        <w:ind w:left="3600" w:firstLine="720"/>
        <w:jc w:val="both"/>
      </w:pPr>
      <w:sdt>
        <w:sdtPr>
          <w:rPr>
            <w:rtl/>
          </w:rPr>
          <w:alias w:val="MergeField"/>
          <w:tag w:val="1237"/>
          <w:id w:val="-205102233"/>
        </w:sdtPr>
        <w:sdtEndPr/>
        <w:sdtContent>
          <w:r w:rsidR="005B77FA">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192B2C" w:rsidRDefault="00192B2C" w:rsidP="00192B2C">
      <w:pPr>
        <w:pStyle w:val="13"/>
        <w:shd w:val="clear" w:color="auto" w:fill="auto"/>
        <w:spacing w:line="360" w:lineRule="auto"/>
        <w:jc w:val="both"/>
        <w:rPr>
          <w:b w:val="0"/>
          <w:bCs w:val="0"/>
          <w:sz w:val="24"/>
          <w:szCs w:val="24"/>
          <w:u w:val="none"/>
          <w:rtl/>
        </w:rPr>
      </w:pPr>
      <w:bookmarkStart w:id="1" w:name="_ETM_Q_600103"/>
      <w:bookmarkEnd w:id="1"/>
    </w:p>
    <w:sectPr w:rsidR="00192B2C"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E36" w:rsidRDefault="00E17E36">
      <w:r>
        <w:separator/>
      </w:r>
    </w:p>
  </w:endnote>
  <w:endnote w:type="continuationSeparator" w:id="0">
    <w:p w:rsidR="00E17E36" w:rsidRDefault="00E1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C4E" w:rsidRDefault="00613C4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5"/>
      <w:jc w:val="center"/>
      <w:rPr>
        <w:rStyle w:val="ae"/>
      </w:rPr>
    </w:pPr>
    <w:r>
      <w:rPr>
        <w:rStyle w:val="ae"/>
      </w:rPr>
      <w:fldChar w:fldCharType="begin"/>
    </w:r>
    <w:r w:rsidR="00011212">
      <w:rPr>
        <w:rStyle w:val="ae"/>
      </w:rPr>
      <w:instrText xml:space="preserve"> PAGE </w:instrText>
    </w:r>
    <w:r>
      <w:rPr>
        <w:rStyle w:val="ae"/>
      </w:rPr>
      <w:fldChar w:fldCharType="separate"/>
    </w:r>
    <w:r w:rsidR="00BA40F5">
      <w:rPr>
        <w:rStyle w:val="ae"/>
        <w:rtl/>
      </w:rPr>
      <w:t>1</w:t>
    </w:r>
    <w:r>
      <w:rPr>
        <w:rStyle w:val="ae"/>
      </w:rPr>
      <w:fldChar w:fldCharType="end"/>
    </w:r>
    <w:r w:rsidR="00011212">
      <w:rPr>
        <w:rStyle w:val="ae"/>
        <w:rFonts w:hint="cs"/>
        <w:rtl/>
      </w:rPr>
      <w:t xml:space="preserve"> מתוך </w:t>
    </w:r>
    <w:r>
      <w:rPr>
        <w:rStyle w:val="ae"/>
      </w:rPr>
      <w:fldChar w:fldCharType="begin"/>
    </w:r>
    <w:r w:rsidR="00011212">
      <w:rPr>
        <w:rStyle w:val="ae"/>
      </w:rPr>
      <w:instrText xml:space="preserve"> NUMPAGES </w:instrText>
    </w:r>
    <w:r>
      <w:rPr>
        <w:rStyle w:val="ae"/>
      </w:rPr>
      <w:fldChar w:fldCharType="separate"/>
    </w:r>
    <w:r w:rsidR="00BA40F5">
      <w:rPr>
        <w:rStyle w:val="ae"/>
        <w:rtl/>
      </w:rPr>
      <w:t>14</w:t>
    </w:r>
    <w:r>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C4E" w:rsidRDefault="00613C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E36" w:rsidRDefault="00E17E36">
      <w:r>
        <w:separator/>
      </w:r>
    </w:p>
  </w:footnote>
  <w:footnote w:type="continuationSeparator" w:id="0">
    <w:p w:rsidR="00E17E36" w:rsidRDefault="00E17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C4E" w:rsidRDefault="00613C4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CA4066">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Tr="00CA4066">
      <w:trPr>
        <w:trHeight w:val="337"/>
        <w:jc w:val="center"/>
      </w:trPr>
      <w:tc>
        <w:tcPr>
          <w:tcW w:w="8505" w:type="dxa"/>
        </w:tcPr>
        <w:p w:rsidR="002914D6" w:rsidRPr="00CA4066" w:rsidRDefault="00E17E36" w:rsidP="00D80559">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14327-06-21</w:t>
              </w:r>
            </w:sdtContent>
          </w:sdt>
          <w:r w:rsidR="00011212">
            <w:rPr>
              <w:b/>
              <w:bCs/>
              <w:noProof w:val="0"/>
              <w:sz w:val="26"/>
              <w:szCs w:val="26"/>
              <w:rtl/>
            </w:rPr>
            <w:t xml:space="preserve"> </w:t>
          </w:r>
          <w:sdt>
            <w:sdtPr>
              <w:rPr>
                <w:rtl/>
              </w:rPr>
              <w:alias w:val="1172"/>
              <w:tag w:val="1172"/>
              <w:id w:val="-673653942"/>
              <w:text w:multiLine="1"/>
            </w:sdtPr>
            <w:sdtEndPr/>
            <w:sdtContent>
              <w:r w:rsidR="00D80559">
                <w:rPr>
                  <w:rFonts w:hint="cs"/>
                  <w:b/>
                  <w:bCs/>
                  <w:noProof w:val="0"/>
                  <w:sz w:val="26"/>
                  <w:szCs w:val="26"/>
                  <w:rtl/>
                </w:rPr>
                <w:t xml:space="preserve">פלונית </w:t>
              </w:r>
              <w:r w:rsidR="00BD18F5">
                <w:rPr>
                  <w:b/>
                  <w:bCs/>
                  <w:noProof w:val="0"/>
                  <w:sz w:val="26"/>
                  <w:szCs w:val="26"/>
                  <w:rtl/>
                </w:rPr>
                <w:t xml:space="preserve">נ' </w:t>
              </w:r>
              <w:r w:rsidR="00CA4066">
                <w:rPr>
                  <w:rFonts w:hint="cs"/>
                  <w:b/>
                  <w:bCs/>
                  <w:noProof w:val="0"/>
                  <w:sz w:val="26"/>
                  <w:szCs w:val="26"/>
                  <w:rtl/>
                </w:rPr>
                <w:t xml:space="preserve">דב </w:t>
              </w:r>
              <w:r w:rsidR="00D80559">
                <w:rPr>
                  <w:rFonts w:hint="cs"/>
                  <w:b/>
                  <w:bCs/>
                  <w:noProof w:val="0"/>
                  <w:sz w:val="26"/>
                  <w:szCs w:val="26"/>
                  <w:rtl/>
                </w:rPr>
                <w:t>אלמוני</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C4E" w:rsidRDefault="00613C4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574A"/>
    <w:multiLevelType w:val="hybridMultilevel"/>
    <w:tmpl w:val="EBF4A83A"/>
    <w:lvl w:ilvl="0" w:tplc="49D62CB8">
      <w:start w:val="1"/>
      <w:numFmt w:val="decimal"/>
      <w:lvlText w:val="%1."/>
      <w:lvlJc w:val="left"/>
      <w:pPr>
        <w:ind w:left="720" w:hanging="360"/>
      </w:pPr>
      <w:rPr>
        <w:rFonts w:ascii="David" w:hAnsi="David" w:cs="David"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A6001B"/>
    <w:multiLevelType w:val="hybridMultilevel"/>
    <w:tmpl w:val="44503F00"/>
    <w:lvl w:ilvl="0" w:tplc="3B90972C">
      <w:start w:val="1"/>
      <w:numFmt w:val="decimal"/>
      <w:pStyle w:val="Ruller4"/>
      <w:lvlText w:val="%1."/>
      <w:lvlJc w:val="left"/>
      <w:pPr>
        <w:tabs>
          <w:tab w:val="num" w:pos="1049"/>
        </w:tabs>
        <w:ind w:left="142" w:firstLine="0"/>
      </w:pPr>
      <w:rPr>
        <w:rFonts w:cs="FrankRuehl"/>
        <w:sz w:val="28"/>
        <w:szCs w:val="28"/>
      </w:rPr>
    </w:lvl>
    <w:lvl w:ilvl="1" w:tplc="2654AD0C">
      <w:start w:val="1"/>
      <w:numFmt w:val="lowerLetter"/>
      <w:lvlText w:val="%2."/>
      <w:lvlJc w:val="left"/>
      <w:pPr>
        <w:tabs>
          <w:tab w:val="num" w:pos="1440"/>
        </w:tabs>
        <w:ind w:left="1440" w:hanging="360"/>
      </w:pPr>
    </w:lvl>
    <w:lvl w:ilvl="2" w:tplc="3A70357C">
      <w:start w:val="1"/>
      <w:numFmt w:val="lowerRoman"/>
      <w:lvlText w:val="%3."/>
      <w:lvlJc w:val="right"/>
      <w:pPr>
        <w:tabs>
          <w:tab w:val="num" w:pos="2160"/>
        </w:tabs>
        <w:ind w:left="2160" w:hanging="180"/>
      </w:pPr>
    </w:lvl>
    <w:lvl w:ilvl="3" w:tplc="3B1E6B70">
      <w:start w:val="1"/>
      <w:numFmt w:val="decimal"/>
      <w:lvlText w:val="%4."/>
      <w:lvlJc w:val="left"/>
      <w:pPr>
        <w:tabs>
          <w:tab w:val="num" w:pos="2880"/>
        </w:tabs>
        <w:ind w:left="2880" w:hanging="360"/>
      </w:pPr>
    </w:lvl>
    <w:lvl w:ilvl="4" w:tplc="1CD8FF54">
      <w:start w:val="1"/>
      <w:numFmt w:val="lowerLetter"/>
      <w:lvlText w:val="%5."/>
      <w:lvlJc w:val="left"/>
      <w:pPr>
        <w:tabs>
          <w:tab w:val="num" w:pos="3600"/>
        </w:tabs>
        <w:ind w:left="3600" w:hanging="360"/>
      </w:pPr>
    </w:lvl>
    <w:lvl w:ilvl="5" w:tplc="04AA3452">
      <w:start w:val="1"/>
      <w:numFmt w:val="lowerRoman"/>
      <w:lvlText w:val="%6."/>
      <w:lvlJc w:val="right"/>
      <w:pPr>
        <w:tabs>
          <w:tab w:val="num" w:pos="4320"/>
        </w:tabs>
        <w:ind w:left="4320" w:hanging="180"/>
      </w:pPr>
    </w:lvl>
    <w:lvl w:ilvl="6" w:tplc="99E8ED66">
      <w:start w:val="1"/>
      <w:numFmt w:val="decimal"/>
      <w:lvlText w:val="%7."/>
      <w:lvlJc w:val="left"/>
      <w:pPr>
        <w:tabs>
          <w:tab w:val="num" w:pos="5040"/>
        </w:tabs>
        <w:ind w:left="5040" w:hanging="360"/>
      </w:pPr>
    </w:lvl>
    <w:lvl w:ilvl="7" w:tplc="F2C2BE5A">
      <w:start w:val="1"/>
      <w:numFmt w:val="lowerLetter"/>
      <w:lvlText w:val="%8."/>
      <w:lvlJc w:val="left"/>
      <w:pPr>
        <w:tabs>
          <w:tab w:val="num" w:pos="5760"/>
        </w:tabs>
        <w:ind w:left="5760" w:hanging="360"/>
      </w:pPr>
    </w:lvl>
    <w:lvl w:ilvl="8" w:tplc="0D468D90">
      <w:start w:val="1"/>
      <w:numFmt w:val="lowerRoman"/>
      <w:lvlText w:val="%9."/>
      <w:lvlJc w:val="right"/>
      <w:pPr>
        <w:tabs>
          <w:tab w:val="num" w:pos="6480"/>
        </w:tabs>
        <w:ind w:left="6480" w:hanging="180"/>
      </w:pPr>
    </w:lvl>
  </w:abstractNum>
  <w:abstractNum w:abstractNumId="2" w15:restartNumberingAfterBreak="0">
    <w:nsid w:val="1CA7743E"/>
    <w:multiLevelType w:val="hybridMultilevel"/>
    <w:tmpl w:val="99D882F6"/>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4C371F65"/>
    <w:multiLevelType w:val="hybridMultilevel"/>
    <w:tmpl w:val="92460F34"/>
    <w:lvl w:ilvl="0" w:tplc="554E1F1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D423058"/>
    <w:multiLevelType w:val="hybridMultilevel"/>
    <w:tmpl w:val="BFBE58EE"/>
    <w:lvl w:ilvl="0" w:tplc="132CF0F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B562AC9"/>
    <w:multiLevelType w:val="hybridMultilevel"/>
    <w:tmpl w:val="376CAB86"/>
    <w:lvl w:ilvl="0" w:tplc="36FEF6B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3A56D8B"/>
    <w:multiLevelType w:val="hybridMultilevel"/>
    <w:tmpl w:val="96CA63F8"/>
    <w:lvl w:ilvl="0" w:tplc="A27613A0">
      <w:start w:val="1"/>
      <w:numFmt w:val="decimal"/>
      <w:lvlText w:val="%1."/>
      <w:lvlJc w:val="left"/>
      <w:pPr>
        <w:ind w:left="720" w:hanging="360"/>
      </w:pPr>
      <w:rPr>
        <w:rFonts w:cs="David"/>
        <w:b w:val="0"/>
        <w:bCs w:val="0"/>
        <w:sz w:val="24"/>
        <w:szCs w:val="24"/>
      </w:rPr>
    </w:lvl>
    <w:lvl w:ilvl="1" w:tplc="04090019">
      <w:start w:val="1"/>
      <w:numFmt w:val="lowerLetter"/>
      <w:lvlText w:val="%2."/>
      <w:lvlJc w:val="left"/>
      <w:pPr>
        <w:ind w:left="1440" w:hanging="360"/>
      </w:pPr>
      <w:rPr>
        <w:rFonts w:cs="Times New Roman"/>
      </w:rPr>
    </w:lvl>
    <w:lvl w:ilvl="2" w:tplc="989C2F30">
      <w:start w:val="1"/>
      <w:numFmt w:val="hebrew1"/>
      <w:lvlText w:val="%3."/>
      <w:lvlJc w:val="left"/>
      <w:pPr>
        <w:ind w:left="2700" w:hanging="720"/>
      </w:pPr>
      <w:rPr>
        <w:rFonts w:cs="David"/>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71DA0F4A"/>
    <w:multiLevelType w:val="hybridMultilevel"/>
    <w:tmpl w:val="99D882F6"/>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7A7239A0"/>
    <w:multiLevelType w:val="hybridMultilevel"/>
    <w:tmpl w:val="472AA186"/>
    <w:lvl w:ilvl="0" w:tplc="A37A284C">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8"/>
  </w:num>
  <w:num w:numId="6">
    <w:abstractNumId w:val="7"/>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35058"/>
    <w:rsid w:val="00062914"/>
    <w:rsid w:val="000942F0"/>
    <w:rsid w:val="000D4BB1"/>
    <w:rsid w:val="000E199E"/>
    <w:rsid w:val="001453E0"/>
    <w:rsid w:val="00162199"/>
    <w:rsid w:val="00176E37"/>
    <w:rsid w:val="00192B2C"/>
    <w:rsid w:val="001C3D3F"/>
    <w:rsid w:val="00206608"/>
    <w:rsid w:val="00230FB1"/>
    <w:rsid w:val="00265648"/>
    <w:rsid w:val="002914D6"/>
    <w:rsid w:val="002A7848"/>
    <w:rsid w:val="002B2B6D"/>
    <w:rsid w:val="002D52DE"/>
    <w:rsid w:val="002F5307"/>
    <w:rsid w:val="0032318D"/>
    <w:rsid w:val="00346F2E"/>
    <w:rsid w:val="00380E27"/>
    <w:rsid w:val="003F672A"/>
    <w:rsid w:val="00401904"/>
    <w:rsid w:val="00446F2A"/>
    <w:rsid w:val="004539B8"/>
    <w:rsid w:val="00492927"/>
    <w:rsid w:val="004C034C"/>
    <w:rsid w:val="004D2AEB"/>
    <w:rsid w:val="00503FA5"/>
    <w:rsid w:val="00527D8D"/>
    <w:rsid w:val="005542CA"/>
    <w:rsid w:val="00572681"/>
    <w:rsid w:val="0058702E"/>
    <w:rsid w:val="00590028"/>
    <w:rsid w:val="005B152C"/>
    <w:rsid w:val="005B77FA"/>
    <w:rsid w:val="005F12C8"/>
    <w:rsid w:val="00613C4E"/>
    <w:rsid w:val="00621ACD"/>
    <w:rsid w:val="00666802"/>
    <w:rsid w:val="006A7273"/>
    <w:rsid w:val="006C1CD1"/>
    <w:rsid w:val="006C4051"/>
    <w:rsid w:val="006C6FBB"/>
    <w:rsid w:val="00724362"/>
    <w:rsid w:val="00736DE1"/>
    <w:rsid w:val="007709B9"/>
    <w:rsid w:val="007C1077"/>
    <w:rsid w:val="007C27D5"/>
    <w:rsid w:val="007C6BD7"/>
    <w:rsid w:val="007E4E46"/>
    <w:rsid w:val="00822AA5"/>
    <w:rsid w:val="00827EB0"/>
    <w:rsid w:val="0091072C"/>
    <w:rsid w:val="009108D7"/>
    <w:rsid w:val="00962F68"/>
    <w:rsid w:val="00A338A4"/>
    <w:rsid w:val="00A67EB6"/>
    <w:rsid w:val="00AB0186"/>
    <w:rsid w:val="00AB3BD1"/>
    <w:rsid w:val="00B4422D"/>
    <w:rsid w:val="00B53D90"/>
    <w:rsid w:val="00B57960"/>
    <w:rsid w:val="00BA40F5"/>
    <w:rsid w:val="00BB33A8"/>
    <w:rsid w:val="00BD09E6"/>
    <w:rsid w:val="00BD18F5"/>
    <w:rsid w:val="00BD5B6B"/>
    <w:rsid w:val="00BE5E69"/>
    <w:rsid w:val="00C110C5"/>
    <w:rsid w:val="00C13433"/>
    <w:rsid w:val="00C1765C"/>
    <w:rsid w:val="00C34419"/>
    <w:rsid w:val="00C40239"/>
    <w:rsid w:val="00C53B0D"/>
    <w:rsid w:val="00C6304A"/>
    <w:rsid w:val="00C931BD"/>
    <w:rsid w:val="00CA4066"/>
    <w:rsid w:val="00D0331F"/>
    <w:rsid w:val="00D07486"/>
    <w:rsid w:val="00D202A8"/>
    <w:rsid w:val="00D358FE"/>
    <w:rsid w:val="00D45626"/>
    <w:rsid w:val="00D510FF"/>
    <w:rsid w:val="00D54B3A"/>
    <w:rsid w:val="00D80559"/>
    <w:rsid w:val="00DE5505"/>
    <w:rsid w:val="00DF3A21"/>
    <w:rsid w:val="00E17E36"/>
    <w:rsid w:val="00E472A8"/>
    <w:rsid w:val="00E9298F"/>
    <w:rsid w:val="00EE3DE6"/>
    <w:rsid w:val="00F004DF"/>
    <w:rsid w:val="00F41AD3"/>
    <w:rsid w:val="00F50E07"/>
    <w:rsid w:val="00F706EB"/>
    <w:rsid w:val="00F75D8E"/>
    <w:rsid w:val="00FC3D4E"/>
    <w:rsid w:val="00FC4EF4"/>
    <w:rsid w:val="00FF53D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DD6CB7-1B87-4721-A658-56D05FDF0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192B2C"/>
    <w:pPr>
      <w:keepNext/>
      <w:spacing w:before="240" w:after="60"/>
      <w:outlineLvl w:val="0"/>
    </w:pPr>
    <w:rPr>
      <w:rFonts w:ascii="Arial" w:hAnsi="Arial"/>
      <w:b/>
      <w:bCs/>
      <w:noProof w:val="0"/>
      <w:kern w:val="32"/>
      <w:sz w:val="32"/>
      <w:szCs w:val="32"/>
    </w:rPr>
  </w:style>
  <w:style w:type="paragraph" w:styleId="2">
    <w:name w:val="heading 2"/>
    <w:basedOn w:val="a"/>
    <w:next w:val="a"/>
    <w:link w:val="20"/>
    <w:semiHidden/>
    <w:unhideWhenUsed/>
    <w:qFormat/>
    <w:rsid w:val="00192B2C"/>
    <w:pPr>
      <w:keepNext/>
      <w:spacing w:before="240" w:after="60"/>
      <w:outlineLvl w:val="1"/>
    </w:pPr>
    <w:rPr>
      <w:rFonts w:ascii="David" w:hAnsi="David"/>
      <w:b/>
      <w:bCs/>
      <w:i/>
      <w:iCs/>
      <w:noProof w:val="0"/>
    </w:rPr>
  </w:style>
  <w:style w:type="paragraph" w:styleId="3">
    <w:name w:val="heading 3"/>
    <w:basedOn w:val="a"/>
    <w:next w:val="a"/>
    <w:link w:val="30"/>
    <w:semiHidden/>
    <w:unhideWhenUsed/>
    <w:qFormat/>
    <w:rsid w:val="00192B2C"/>
    <w:pPr>
      <w:keepNext/>
      <w:spacing w:before="240" w:after="60"/>
      <w:outlineLvl w:val="2"/>
    </w:pPr>
    <w:rPr>
      <w:rFonts w:ascii="David" w:hAnsi="David"/>
      <w:b/>
      <w:bCs/>
      <w:noProof w:val="0"/>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11"/>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semiHidden/>
    <w:rsid w:val="00C64423"/>
    <w:rPr>
      <w:rFonts w:ascii="Tahoma" w:hAnsi="Tahoma" w:cs="Tahoma"/>
      <w:sz w:val="16"/>
      <w:szCs w:val="16"/>
    </w:rPr>
  </w:style>
  <w:style w:type="table" w:styleId="ac">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character" w:styleId="af">
    <w:name w:val="Placeholder Text"/>
    <w:basedOn w:val="a0"/>
    <w:uiPriority w:val="99"/>
    <w:semiHidden/>
    <w:rsid w:val="00BD5B6B"/>
    <w:rPr>
      <w:color w:val="808080"/>
    </w:rPr>
  </w:style>
  <w:style w:type="character" w:styleId="Hyperlink">
    <w:name w:val="Hyperlink"/>
    <w:basedOn w:val="a0"/>
    <w:uiPriority w:val="99"/>
    <w:semiHidden/>
    <w:unhideWhenUsed/>
    <w:rsid w:val="0058702E"/>
    <w:rPr>
      <w:color w:val="0000FF"/>
      <w:u w:val="single"/>
    </w:rPr>
  </w:style>
  <w:style w:type="paragraph" w:styleId="af0">
    <w:name w:val="List Paragraph"/>
    <w:basedOn w:val="a"/>
    <w:uiPriority w:val="34"/>
    <w:qFormat/>
    <w:rsid w:val="0058702E"/>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10">
    <w:name w:val="כותרת 1 תו"/>
    <w:basedOn w:val="a0"/>
    <w:link w:val="1"/>
    <w:rsid w:val="00192B2C"/>
    <w:rPr>
      <w:rFonts w:ascii="Arial" w:hAnsi="Arial" w:cs="David"/>
      <w:b/>
      <w:bCs/>
      <w:kern w:val="32"/>
      <w:sz w:val="32"/>
      <w:szCs w:val="32"/>
    </w:rPr>
  </w:style>
  <w:style w:type="character" w:customStyle="1" w:styleId="20">
    <w:name w:val="כותרת 2 תו"/>
    <w:basedOn w:val="a0"/>
    <w:link w:val="2"/>
    <w:semiHidden/>
    <w:rsid w:val="00192B2C"/>
    <w:rPr>
      <w:rFonts w:ascii="David" w:hAnsi="David" w:cs="David"/>
      <w:b/>
      <w:bCs/>
      <w:i/>
      <w:iCs/>
      <w:sz w:val="24"/>
      <w:szCs w:val="24"/>
    </w:rPr>
  </w:style>
  <w:style w:type="character" w:customStyle="1" w:styleId="30">
    <w:name w:val="כותרת 3 תו"/>
    <w:basedOn w:val="a0"/>
    <w:link w:val="3"/>
    <w:semiHidden/>
    <w:rsid w:val="00192B2C"/>
    <w:rPr>
      <w:rFonts w:ascii="David" w:hAnsi="David" w:cs="David"/>
      <w:b/>
      <w:bCs/>
      <w:sz w:val="26"/>
      <w:szCs w:val="26"/>
    </w:rPr>
  </w:style>
  <w:style w:type="paragraph" w:customStyle="1" w:styleId="msonormal0">
    <w:name w:val="msonormal"/>
    <w:basedOn w:val="a"/>
    <w:rsid w:val="00192B2C"/>
    <w:pPr>
      <w:bidi w:val="0"/>
      <w:spacing w:before="100" w:beforeAutospacing="1" w:after="100" w:afterAutospacing="1"/>
    </w:pPr>
    <w:rPr>
      <w:rFonts w:cs="Times New Roman"/>
      <w:noProof w:val="0"/>
    </w:rPr>
  </w:style>
  <w:style w:type="character" w:customStyle="1" w:styleId="af1">
    <w:name w:val="טקסט הערה תו"/>
    <w:basedOn w:val="a0"/>
    <w:semiHidden/>
    <w:rsid w:val="00192B2C"/>
    <w:rPr>
      <w:rFonts w:ascii="David" w:eastAsia="David" w:hAnsi="David" w:cs="David"/>
    </w:rPr>
  </w:style>
  <w:style w:type="character" w:customStyle="1" w:styleId="a4">
    <w:name w:val="כותרת עליונה תו"/>
    <w:basedOn w:val="a0"/>
    <w:link w:val="a3"/>
    <w:rsid w:val="00192B2C"/>
    <w:rPr>
      <w:rFonts w:cs="David"/>
      <w:noProof/>
      <w:sz w:val="24"/>
      <w:szCs w:val="24"/>
    </w:rPr>
  </w:style>
  <w:style w:type="character" w:customStyle="1" w:styleId="a6">
    <w:name w:val="כותרת תחתונה תו"/>
    <w:basedOn w:val="a0"/>
    <w:link w:val="a5"/>
    <w:rsid w:val="00192B2C"/>
    <w:rPr>
      <w:rFonts w:cs="David"/>
      <w:noProof/>
      <w:sz w:val="24"/>
      <w:szCs w:val="24"/>
    </w:rPr>
  </w:style>
  <w:style w:type="paragraph" w:styleId="af2">
    <w:name w:val="Title"/>
    <w:basedOn w:val="a"/>
    <w:link w:val="af3"/>
    <w:qFormat/>
    <w:rsid w:val="00192B2C"/>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3">
    <w:name w:val="כותרת טקסט תו"/>
    <w:basedOn w:val="a0"/>
    <w:link w:val="af2"/>
    <w:rsid w:val="00192B2C"/>
    <w:rPr>
      <w:b/>
      <w:bCs/>
      <w:szCs w:val="28"/>
      <w:u w:val="single"/>
      <w:shd w:val="pct20" w:color="auto" w:fill="FFFFFF"/>
      <w:lang w:eastAsia="he-IL"/>
    </w:rPr>
  </w:style>
  <w:style w:type="paragraph" w:styleId="af4">
    <w:name w:val="Document Map"/>
    <w:basedOn w:val="a"/>
    <w:link w:val="af5"/>
    <w:semiHidden/>
    <w:unhideWhenUsed/>
    <w:rsid w:val="00192B2C"/>
    <w:pPr>
      <w:shd w:val="clear" w:color="auto" w:fill="000080"/>
    </w:pPr>
    <w:rPr>
      <w:rFonts w:ascii="Tahoma" w:hAnsi="Tahoma" w:cs="Tahoma"/>
      <w:noProof w:val="0"/>
      <w:sz w:val="20"/>
      <w:szCs w:val="20"/>
      <w:lang w:eastAsia="he-IL"/>
    </w:rPr>
  </w:style>
  <w:style w:type="character" w:customStyle="1" w:styleId="af5">
    <w:name w:val="מפת מסמך תו"/>
    <w:basedOn w:val="a0"/>
    <w:link w:val="af4"/>
    <w:semiHidden/>
    <w:rsid w:val="00192B2C"/>
    <w:rPr>
      <w:rFonts w:ascii="Tahoma" w:hAnsi="Tahoma" w:cs="Tahoma"/>
      <w:shd w:val="clear" w:color="auto" w:fill="000080"/>
      <w:lang w:eastAsia="he-IL"/>
    </w:rPr>
  </w:style>
  <w:style w:type="paragraph" w:styleId="af6">
    <w:name w:val="annotation subject"/>
    <w:basedOn w:val="a8"/>
    <w:next w:val="a8"/>
    <w:link w:val="af7"/>
    <w:semiHidden/>
    <w:unhideWhenUsed/>
    <w:rsid w:val="00192B2C"/>
    <w:rPr>
      <w:b/>
      <w:bCs/>
      <w:sz w:val="20"/>
      <w:szCs w:val="20"/>
      <w:lang w:eastAsia="he-IL"/>
    </w:rPr>
  </w:style>
  <w:style w:type="character" w:customStyle="1" w:styleId="11">
    <w:name w:val="טקסט הערה תו1"/>
    <w:basedOn w:val="a0"/>
    <w:link w:val="a8"/>
    <w:semiHidden/>
    <w:rsid w:val="00192B2C"/>
    <w:rPr>
      <w:sz w:val="24"/>
      <w:szCs w:val="24"/>
    </w:rPr>
  </w:style>
  <w:style w:type="character" w:customStyle="1" w:styleId="af7">
    <w:name w:val="נושא הערה תו"/>
    <w:basedOn w:val="11"/>
    <w:link w:val="af6"/>
    <w:semiHidden/>
    <w:rsid w:val="00192B2C"/>
    <w:rPr>
      <w:b/>
      <w:bCs/>
      <w:sz w:val="24"/>
      <w:szCs w:val="24"/>
      <w:lang w:eastAsia="he-IL"/>
    </w:rPr>
  </w:style>
  <w:style w:type="character" w:customStyle="1" w:styleId="ab">
    <w:name w:val="טקסט בלונים תו"/>
    <w:basedOn w:val="a0"/>
    <w:link w:val="aa"/>
    <w:semiHidden/>
    <w:rsid w:val="00192B2C"/>
    <w:rPr>
      <w:rFonts w:ascii="Tahoma" w:hAnsi="Tahoma" w:cs="Tahoma"/>
      <w:noProof/>
      <w:sz w:val="16"/>
      <w:szCs w:val="16"/>
    </w:rPr>
  </w:style>
  <w:style w:type="paragraph" w:customStyle="1" w:styleId="Arial">
    <w:name w:val="סגנון (לטיני) Arial מיושר לשני הצדדים מרווח בין שורות:  שורה וחצי"/>
    <w:basedOn w:val="a"/>
    <w:rsid w:val="00192B2C"/>
    <w:pPr>
      <w:spacing w:line="360" w:lineRule="auto"/>
      <w:jc w:val="both"/>
    </w:pPr>
    <w:rPr>
      <w:rFonts w:ascii="Arial" w:hAnsi="Arial"/>
      <w:noProof w:val="0"/>
    </w:rPr>
  </w:style>
  <w:style w:type="paragraph" w:customStyle="1" w:styleId="Arial0">
    <w:name w:val="סגנון (לטיני) Arial מודגש מיושר לשני הצדדים מרווח בין שורות:  שו..."/>
    <w:basedOn w:val="a"/>
    <w:rsid w:val="00192B2C"/>
    <w:pPr>
      <w:spacing w:line="360" w:lineRule="auto"/>
      <w:jc w:val="both"/>
    </w:pPr>
    <w:rPr>
      <w:rFonts w:ascii="Arial" w:hAnsi="Arial"/>
      <w:b/>
      <w:bCs/>
      <w:noProof w:val="0"/>
    </w:rPr>
  </w:style>
  <w:style w:type="paragraph" w:customStyle="1" w:styleId="TimesNewRoman13">
    <w:name w:val="סגנון (לטיני) Times New Roman ‏13 נק' מודגש מיושר לשני הצדדים מ..."/>
    <w:basedOn w:val="a"/>
    <w:rsid w:val="00192B2C"/>
    <w:pPr>
      <w:spacing w:line="360" w:lineRule="auto"/>
      <w:jc w:val="both"/>
    </w:pPr>
    <w:rPr>
      <w:b/>
      <w:bCs/>
      <w:noProof w:val="0"/>
      <w:sz w:val="26"/>
      <w:szCs w:val="26"/>
    </w:rPr>
  </w:style>
  <w:style w:type="paragraph" w:customStyle="1" w:styleId="12">
    <w:name w:val="רגיל + ‏12 נק'"/>
    <w:aliases w:val="מיושר לשני הצדדים,מרווח בין שורות:  שורה וחצי"/>
    <w:basedOn w:val="a"/>
    <w:rsid w:val="00192B2C"/>
    <w:rPr>
      <w:b/>
      <w:bCs/>
      <w:noProof w:val="0"/>
      <w:u w:val="single"/>
    </w:rPr>
  </w:style>
  <w:style w:type="paragraph" w:customStyle="1" w:styleId="David">
    <w:name w:val="סגנון (עברית ושפות אחרות) David מיושר לשני הצדדים מרווח בין שורות..."/>
    <w:basedOn w:val="a"/>
    <w:rsid w:val="00192B2C"/>
    <w:pPr>
      <w:spacing w:line="360" w:lineRule="auto"/>
      <w:jc w:val="both"/>
    </w:pPr>
    <w:rPr>
      <w:noProof w:val="0"/>
    </w:rPr>
  </w:style>
  <w:style w:type="paragraph" w:customStyle="1" w:styleId="0">
    <w:name w:val="_0"/>
    <w:basedOn w:val="a"/>
    <w:next w:val="af2"/>
    <w:qFormat/>
    <w:rsid w:val="00192B2C"/>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TimesNewRomanTimesNewRoman">
    <w:name w:val="סגנון (לטיני) Times New Roman (עברית ושפות אחרות) Times New Roman..."/>
    <w:basedOn w:val="a0"/>
    <w:rsid w:val="00192B2C"/>
    <w:rPr>
      <w:rFonts w:ascii="Times New Roman" w:hAnsi="Times New Roman" w:cs="David" w:hint="default"/>
      <w:b/>
      <w:bCs/>
      <w:sz w:val="26"/>
      <w:szCs w:val="26"/>
    </w:rPr>
  </w:style>
  <w:style w:type="character" w:customStyle="1" w:styleId="af8">
    <w:name w:val="תואר תו"/>
    <w:link w:val="13"/>
    <w:locked/>
    <w:rsid w:val="00192B2C"/>
    <w:rPr>
      <w:b/>
      <w:bCs/>
      <w:szCs w:val="28"/>
      <w:u w:val="single"/>
      <w:shd w:val="pct20" w:color="auto" w:fill="FFFFFF"/>
      <w:lang w:eastAsia="he-IL"/>
    </w:rPr>
  </w:style>
  <w:style w:type="paragraph" w:customStyle="1" w:styleId="13">
    <w:name w:val="תואר1"/>
    <w:basedOn w:val="a"/>
    <w:link w:val="af8"/>
    <w:qFormat/>
    <w:rsid w:val="00192B2C"/>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Ruller40">
    <w:name w:val="Ruller4 תו"/>
    <w:link w:val="Ruller41"/>
    <w:locked/>
    <w:rsid w:val="00D45626"/>
    <w:rPr>
      <w:rFonts w:ascii="Arial TUR" w:hAnsi="Arial TUR" w:cs="FrankRuehl"/>
      <w:spacing w:val="10"/>
      <w:szCs w:val="28"/>
    </w:rPr>
  </w:style>
  <w:style w:type="paragraph" w:customStyle="1" w:styleId="Ruller41">
    <w:name w:val="Ruller4"/>
    <w:basedOn w:val="a"/>
    <w:link w:val="Ruller40"/>
    <w:rsid w:val="00D45626"/>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4">
    <w:name w:val="Ruller 4 ממוספר"/>
    <w:basedOn w:val="a"/>
    <w:next w:val="a"/>
    <w:rsid w:val="00062914"/>
    <w:pPr>
      <w:numPr>
        <w:numId w:val="8"/>
      </w:numPr>
      <w:tabs>
        <w:tab w:val="left" w:pos="800"/>
        <w:tab w:val="num" w:pos="907"/>
      </w:tabs>
      <w:overflowPunct w:val="0"/>
      <w:autoSpaceDE w:val="0"/>
      <w:autoSpaceDN w:val="0"/>
      <w:adjustRightInd w:val="0"/>
      <w:spacing w:line="360" w:lineRule="auto"/>
      <w:ind w:left="0"/>
      <w:jc w:val="both"/>
    </w:pPr>
    <w:rPr>
      <w:rFonts w:ascii="Garamond" w:hAnsi="Garamond" w:cs="FrankRuehl"/>
      <w:noProof w:val="0"/>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937647">
      <w:bodyDiv w:val="1"/>
      <w:marLeft w:val="0"/>
      <w:marRight w:val="0"/>
      <w:marTop w:val="0"/>
      <w:marBottom w:val="0"/>
      <w:divBdr>
        <w:top w:val="none" w:sz="0" w:space="0" w:color="auto"/>
        <w:left w:val="none" w:sz="0" w:space="0" w:color="auto"/>
        <w:bottom w:val="none" w:sz="0" w:space="0" w:color="auto"/>
        <w:right w:val="none" w:sz="0" w:space="0" w:color="auto"/>
      </w:divBdr>
    </w:div>
    <w:div w:id="739446013">
      <w:bodyDiv w:val="1"/>
      <w:marLeft w:val="0"/>
      <w:marRight w:val="0"/>
      <w:marTop w:val="0"/>
      <w:marBottom w:val="0"/>
      <w:divBdr>
        <w:top w:val="none" w:sz="0" w:space="0" w:color="auto"/>
        <w:left w:val="none" w:sz="0" w:space="0" w:color="auto"/>
        <w:bottom w:val="none" w:sz="0" w:space="0" w:color="auto"/>
        <w:right w:val="none" w:sz="0" w:space="0" w:color="auto"/>
      </w:divBdr>
    </w:div>
    <w:div w:id="1394816729">
      <w:bodyDiv w:val="1"/>
      <w:marLeft w:val="0"/>
      <w:marRight w:val="0"/>
      <w:marTop w:val="0"/>
      <w:marBottom w:val="0"/>
      <w:divBdr>
        <w:top w:val="none" w:sz="0" w:space="0" w:color="auto"/>
        <w:left w:val="none" w:sz="0" w:space="0" w:color="auto"/>
        <w:bottom w:val="none" w:sz="0" w:space="0" w:color="auto"/>
        <w:right w:val="none" w:sz="0" w:space="0" w:color="auto"/>
      </w:divBdr>
    </w:div>
    <w:div w:id="167399179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98790404">
      <w:bodyDiv w:val="1"/>
      <w:marLeft w:val="0"/>
      <w:marRight w:val="0"/>
      <w:marTop w:val="0"/>
      <w:marBottom w:val="0"/>
      <w:divBdr>
        <w:top w:val="none" w:sz="0" w:space="0" w:color="auto"/>
        <w:left w:val="none" w:sz="0" w:space="0" w:color="auto"/>
        <w:bottom w:val="none" w:sz="0" w:space="0" w:color="auto"/>
        <w:right w:val="none" w:sz="0" w:space="0" w:color="auto"/>
      </w:divBdr>
    </w:div>
    <w:div w:id="1976444352">
      <w:bodyDiv w:val="1"/>
      <w:marLeft w:val="0"/>
      <w:marRight w:val="0"/>
      <w:marTop w:val="0"/>
      <w:marBottom w:val="0"/>
      <w:divBdr>
        <w:top w:val="none" w:sz="0" w:space="0" w:color="auto"/>
        <w:left w:val="none" w:sz="0" w:space="0" w:color="auto"/>
        <w:bottom w:val="none" w:sz="0" w:space="0" w:color="auto"/>
        <w:right w:val="none" w:sz="0" w:space="0" w:color="auto"/>
      </w:divBdr>
    </w:div>
    <w:div w:id="2021814212">
      <w:bodyDiv w:val="1"/>
      <w:marLeft w:val="0"/>
      <w:marRight w:val="0"/>
      <w:marTop w:val="0"/>
      <w:marBottom w:val="0"/>
      <w:divBdr>
        <w:top w:val="none" w:sz="0" w:space="0" w:color="auto"/>
        <w:left w:val="none" w:sz="0" w:space="0" w:color="auto"/>
        <w:bottom w:val="none" w:sz="0" w:space="0" w:color="auto"/>
        <w:right w:val="none" w:sz="0" w:space="0" w:color="auto"/>
      </w:divBdr>
    </w:div>
    <w:div w:id="214068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4769</Words>
  <Characters>23845</Characters>
  <Application>Microsoft Office Word</Application>
  <DocSecurity>0</DocSecurity>
  <Lines>198</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2023-04-17T09:07:00Z</cp:lastPrinted>
  <dcterms:created xsi:type="dcterms:W3CDTF">2023-05-04T12:03:00Z</dcterms:created>
  <dcterms:modified xsi:type="dcterms:W3CDTF">2023-05-04T12:03:00Z</dcterms:modified>
</cp:coreProperties>
</file>